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7118" w:rsidRPr="000032C8" w:rsidRDefault="00927118" w:rsidP="00927118">
      <w:pPr>
        <w:adjustRightInd w:val="0"/>
        <w:spacing w:after="0" w:line="240" w:lineRule="auto"/>
        <w:jc w:val="center"/>
        <w:rPr>
          <w:rFonts w:ascii="Times New Roman" w:eastAsia="Times New Roman" w:hAnsi="Times New Roman" w:cs="Calibri"/>
          <w:b/>
          <w:caps/>
          <w:sz w:val="28"/>
          <w:szCs w:val="28"/>
        </w:rPr>
      </w:pPr>
      <w:bookmarkStart w:id="0" w:name="_GoBack"/>
      <w:bookmarkEnd w:id="0"/>
      <w:r w:rsidRPr="000032C8">
        <w:rPr>
          <w:rFonts w:ascii="Times New Roman" w:eastAsia="Times New Roman" w:hAnsi="Times New Roman" w:cs="Calibri"/>
          <w:b/>
          <w:caps/>
          <w:sz w:val="28"/>
          <w:szCs w:val="28"/>
        </w:rPr>
        <w:t>Vyhodnotenie medzirezortného pripomienkového konania</w:t>
      </w:r>
    </w:p>
    <w:p w:rsidR="00927118" w:rsidRPr="00024402" w:rsidRDefault="00927118" w:rsidP="00927118">
      <w:pPr>
        <w:jc w:val="center"/>
      </w:pPr>
    </w:p>
    <w:p w:rsidR="00F85FDC" w:rsidRDefault="00F85FDC">
      <w:pPr>
        <w:jc w:val="center"/>
        <w:divId w:val="1575509013"/>
        <w:rPr>
          <w:rFonts w:ascii="Times" w:hAnsi="Times" w:cs="Times"/>
          <w:sz w:val="25"/>
          <w:szCs w:val="25"/>
        </w:rPr>
      </w:pPr>
      <w:r>
        <w:rPr>
          <w:rFonts w:ascii="Times" w:hAnsi="Times" w:cs="Times"/>
          <w:sz w:val="25"/>
          <w:szCs w:val="25"/>
        </w:rPr>
        <w:t xml:space="preserve">Informácia o transpozičnom deficite a harmonograme jeho odstránenia </w:t>
      </w:r>
    </w:p>
    <w:p w:rsidR="00927118" w:rsidRPr="00024402" w:rsidRDefault="00927118" w:rsidP="00CE47A6"/>
    <w:tbl>
      <w:tblPr>
        <w:tblW w:w="15598" w:type="dxa"/>
        <w:tblCellMar>
          <w:left w:w="0" w:type="dxa"/>
          <w:right w:w="0" w:type="dxa"/>
        </w:tblCellMar>
        <w:tblLook w:val="0000" w:firstRow="0" w:lastRow="0" w:firstColumn="0" w:lastColumn="0" w:noHBand="0" w:noVBand="0"/>
      </w:tblPr>
      <w:tblGrid>
        <w:gridCol w:w="7797"/>
        <w:gridCol w:w="7801"/>
      </w:tblGrid>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Spôsob pripomienkového konania</w:t>
            </w: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r w:rsidRPr="00024402">
              <w:rPr>
                <w:rFonts w:ascii="Times New Roman" w:hAnsi="Times New Roman" w:cs="Calibri"/>
                <w:sz w:val="20"/>
                <w:szCs w:val="20"/>
              </w:rPr>
              <w:t> </w:t>
            </w:r>
          </w:p>
        </w:tc>
      </w:tr>
      <w:tr w:rsidR="00A251BF" w:rsidRPr="00024402" w:rsidTr="00B76589">
        <w:tc>
          <w:tcPr>
            <w:tcW w:w="7797" w:type="dxa"/>
            <w:tcBorders>
              <w:top w:val="nil"/>
              <w:left w:val="nil"/>
              <w:bottom w:val="nil"/>
              <w:right w:val="nil"/>
            </w:tcBorders>
          </w:tcPr>
          <w:p w:rsidR="00A251BF" w:rsidRPr="000032C8" w:rsidRDefault="00A251BF"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vznesených pripomienok, z toho zásadných</w:t>
            </w:r>
          </w:p>
        </w:tc>
        <w:tc>
          <w:tcPr>
            <w:tcW w:w="7801" w:type="dxa"/>
            <w:tcBorders>
              <w:top w:val="nil"/>
              <w:left w:val="nil"/>
              <w:bottom w:val="nil"/>
              <w:right w:val="nil"/>
            </w:tcBorders>
          </w:tcPr>
          <w:p w:rsidR="00A251BF" w:rsidRPr="00024402" w:rsidRDefault="00F85FDC" w:rsidP="00F85FDC">
            <w:pPr>
              <w:spacing w:after="0" w:line="240" w:lineRule="auto"/>
              <w:rPr>
                <w:rFonts w:ascii="Times New Roman" w:hAnsi="Times New Roman" w:cs="Calibri"/>
                <w:sz w:val="20"/>
                <w:szCs w:val="20"/>
              </w:rPr>
            </w:pPr>
            <w:r>
              <w:rPr>
                <w:rFonts w:ascii="Times" w:hAnsi="Times" w:cs="Times"/>
                <w:sz w:val="25"/>
                <w:szCs w:val="25"/>
              </w:rPr>
              <w:t>20 /0</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vyhodnotených pripomienok</w:t>
            </w:r>
          </w:p>
        </w:tc>
        <w:tc>
          <w:tcPr>
            <w:tcW w:w="7801" w:type="dxa"/>
            <w:tcBorders>
              <w:top w:val="nil"/>
              <w:left w:val="nil"/>
              <w:bottom w:val="nil"/>
              <w:right w:val="nil"/>
            </w:tcBorders>
          </w:tcPr>
          <w:p w:rsidR="00927118" w:rsidRPr="00024402" w:rsidRDefault="00F85FDC" w:rsidP="00F85FDC">
            <w:pPr>
              <w:spacing w:after="0" w:line="240" w:lineRule="auto"/>
              <w:rPr>
                <w:rFonts w:ascii="Times New Roman" w:hAnsi="Times New Roman" w:cs="Calibri"/>
                <w:sz w:val="20"/>
                <w:szCs w:val="20"/>
              </w:rPr>
            </w:pPr>
            <w:r>
              <w:rPr>
                <w:rFonts w:ascii="Times" w:hAnsi="Times" w:cs="Times"/>
                <w:sz w:val="25"/>
                <w:szCs w:val="25"/>
              </w:rPr>
              <w:t>20</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akceptovaných pripomienok, z toho zásadných</w:t>
            </w:r>
          </w:p>
        </w:tc>
        <w:tc>
          <w:tcPr>
            <w:tcW w:w="7801" w:type="dxa"/>
            <w:tcBorders>
              <w:top w:val="nil"/>
              <w:left w:val="nil"/>
              <w:bottom w:val="nil"/>
              <w:right w:val="nil"/>
            </w:tcBorders>
          </w:tcPr>
          <w:p w:rsidR="00927118" w:rsidRPr="00024402" w:rsidRDefault="00F85FDC" w:rsidP="00F85FDC">
            <w:pPr>
              <w:spacing w:after="0" w:line="240" w:lineRule="auto"/>
              <w:rPr>
                <w:rFonts w:ascii="Times New Roman" w:hAnsi="Times New Roman" w:cs="Calibri"/>
                <w:sz w:val="20"/>
                <w:szCs w:val="20"/>
              </w:rPr>
            </w:pPr>
            <w:r>
              <w:rPr>
                <w:rFonts w:ascii="Times" w:hAnsi="Times" w:cs="Times"/>
                <w:sz w:val="25"/>
                <w:szCs w:val="25"/>
              </w:rPr>
              <w:t>4 /0</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čiastočne akceptovaných pripomienok, z toho zásadných</w:t>
            </w:r>
          </w:p>
        </w:tc>
        <w:tc>
          <w:tcPr>
            <w:tcW w:w="7801" w:type="dxa"/>
            <w:tcBorders>
              <w:top w:val="nil"/>
              <w:left w:val="nil"/>
              <w:bottom w:val="nil"/>
              <w:right w:val="nil"/>
            </w:tcBorders>
          </w:tcPr>
          <w:p w:rsidR="00927118" w:rsidRPr="00024402" w:rsidRDefault="00F85FDC" w:rsidP="00F85FDC">
            <w:pPr>
              <w:spacing w:after="0" w:line="240" w:lineRule="auto"/>
              <w:rPr>
                <w:rFonts w:ascii="Times New Roman" w:hAnsi="Times New Roman" w:cs="Calibri"/>
                <w:sz w:val="20"/>
                <w:szCs w:val="20"/>
              </w:rPr>
            </w:pPr>
            <w:r>
              <w:rPr>
                <w:rFonts w:ascii="Times" w:hAnsi="Times" w:cs="Times"/>
                <w:sz w:val="25"/>
                <w:szCs w:val="25"/>
              </w:rPr>
              <w:t>3 /0</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neakceptovaných pripomienok, z toho zásadných</w:t>
            </w:r>
          </w:p>
        </w:tc>
        <w:tc>
          <w:tcPr>
            <w:tcW w:w="7801" w:type="dxa"/>
            <w:tcBorders>
              <w:top w:val="nil"/>
              <w:left w:val="nil"/>
              <w:bottom w:val="nil"/>
              <w:right w:val="nil"/>
            </w:tcBorders>
          </w:tcPr>
          <w:p w:rsidR="00927118" w:rsidRPr="00024402" w:rsidRDefault="00F85FDC" w:rsidP="00F85FDC">
            <w:pPr>
              <w:spacing w:after="0" w:line="240" w:lineRule="auto"/>
              <w:rPr>
                <w:rFonts w:ascii="Times New Roman" w:hAnsi="Times New Roman" w:cs="Calibri"/>
                <w:sz w:val="20"/>
                <w:szCs w:val="20"/>
              </w:rPr>
            </w:pPr>
            <w:r>
              <w:rPr>
                <w:rFonts w:ascii="Times" w:hAnsi="Times" w:cs="Times"/>
                <w:sz w:val="25"/>
                <w:szCs w:val="25"/>
              </w:rPr>
              <w:t>2 /0</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bCs/>
                <w:sz w:val="25"/>
                <w:szCs w:val="25"/>
              </w:rPr>
            </w:pP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bCs/>
                <w:sz w:val="25"/>
                <w:szCs w:val="25"/>
              </w:rPr>
              <w:t>Rozporové konanie (s kým, kedy, s akým výsledkom)</w:t>
            </w: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bCs/>
                <w:sz w:val="25"/>
                <w:szCs w:val="25"/>
              </w:rPr>
            </w:pPr>
            <w:r w:rsidRPr="000032C8">
              <w:rPr>
                <w:rFonts w:ascii="Times New Roman" w:hAnsi="Times New Roman" w:cs="Calibri"/>
                <w:bCs/>
                <w:sz w:val="25"/>
                <w:szCs w:val="25"/>
              </w:rPr>
              <w:t>Počet odstránených pripomienok</w:t>
            </w: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bCs/>
                <w:sz w:val="25"/>
                <w:szCs w:val="25"/>
              </w:rPr>
            </w:pPr>
            <w:r w:rsidRPr="000032C8">
              <w:rPr>
                <w:rFonts w:ascii="Times New Roman" w:hAnsi="Times New Roman" w:cs="Calibri"/>
                <w:bCs/>
                <w:sz w:val="25"/>
                <w:szCs w:val="25"/>
              </w:rPr>
              <w:t>Počet neodstránených pripomienok</w:t>
            </w: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bl>
    <w:p w:rsidR="00927118" w:rsidRPr="00024402" w:rsidRDefault="00927118" w:rsidP="00927118">
      <w:pPr>
        <w:spacing w:after="0" w:line="240" w:lineRule="auto"/>
        <w:rPr>
          <w:rFonts w:ascii="Times New Roman" w:hAnsi="Times New Roman" w:cs="Calibri"/>
          <w:b/>
          <w:sz w:val="20"/>
          <w:szCs w:val="20"/>
        </w:rPr>
      </w:pPr>
    </w:p>
    <w:p w:rsidR="00927118" w:rsidRPr="000032C8" w:rsidRDefault="00927118" w:rsidP="00927118">
      <w:pPr>
        <w:spacing w:after="0" w:line="240" w:lineRule="auto"/>
        <w:rPr>
          <w:sz w:val="25"/>
          <w:szCs w:val="25"/>
        </w:rPr>
      </w:pPr>
      <w:r w:rsidRPr="000032C8">
        <w:rPr>
          <w:rFonts w:ascii="Times New Roman" w:hAnsi="Times New Roman" w:cs="Calibri"/>
          <w:sz w:val="25"/>
          <w:szCs w:val="25"/>
        </w:rPr>
        <w:t>Sumarizácia vznesených pripomienok podľa subjektov</w:t>
      </w:r>
    </w:p>
    <w:p w:rsidR="00F85FDC" w:rsidRDefault="00F85FDC" w:rsidP="00841FA6"/>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328"/>
        <w:gridCol w:w="3597"/>
        <w:gridCol w:w="1404"/>
        <w:gridCol w:w="1404"/>
        <w:gridCol w:w="1391"/>
        <w:gridCol w:w="932"/>
      </w:tblGrid>
      <w:tr w:rsidR="00F85FDC">
        <w:trPr>
          <w:divId w:val="736829233"/>
          <w:jc w:val="center"/>
        </w:trPr>
        <w:tc>
          <w:tcPr>
            <w:tcW w:w="15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b/>
                <w:bCs/>
                <w:sz w:val="25"/>
                <w:szCs w:val="25"/>
              </w:rPr>
            </w:pPr>
            <w:r>
              <w:rPr>
                <w:rFonts w:ascii="Times" w:hAnsi="Times" w:cs="Times"/>
                <w:b/>
                <w:bCs/>
                <w:sz w:val="25"/>
                <w:szCs w:val="25"/>
              </w:rPr>
              <w:t>Č.</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b/>
                <w:bCs/>
                <w:sz w:val="25"/>
                <w:szCs w:val="25"/>
              </w:rPr>
            </w:pPr>
            <w:r>
              <w:rPr>
                <w:rFonts w:ascii="Times" w:hAnsi="Times" w:cs="Times"/>
                <w:b/>
                <w:bCs/>
                <w:sz w:val="25"/>
                <w:szCs w:val="25"/>
              </w:rPr>
              <w:t>Subjekt</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b/>
                <w:bCs/>
                <w:sz w:val="25"/>
                <w:szCs w:val="25"/>
              </w:rPr>
            </w:pPr>
            <w:r>
              <w:rPr>
                <w:rFonts w:ascii="Times" w:hAnsi="Times" w:cs="Times"/>
                <w:b/>
                <w:bCs/>
                <w:sz w:val="25"/>
                <w:szCs w:val="25"/>
              </w:rPr>
              <w:t>Pripomienky do termínu</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b/>
                <w:bCs/>
                <w:sz w:val="25"/>
                <w:szCs w:val="25"/>
              </w:rPr>
            </w:pPr>
            <w:r>
              <w:rPr>
                <w:rFonts w:ascii="Times" w:hAnsi="Times" w:cs="Times"/>
                <w:b/>
                <w:bCs/>
                <w:sz w:val="25"/>
                <w:szCs w:val="25"/>
              </w:rPr>
              <w:t>Pripomienky po termíne</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b/>
                <w:bCs/>
                <w:sz w:val="25"/>
                <w:szCs w:val="25"/>
              </w:rPr>
            </w:pPr>
            <w:r>
              <w:rPr>
                <w:rFonts w:ascii="Times" w:hAnsi="Times" w:cs="Times"/>
                <w:b/>
                <w:bCs/>
                <w:sz w:val="25"/>
                <w:szCs w:val="25"/>
              </w:rPr>
              <w:t>Nemali pripomienky</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b/>
                <w:bCs/>
                <w:sz w:val="25"/>
                <w:szCs w:val="25"/>
              </w:rPr>
            </w:pPr>
            <w:r>
              <w:rPr>
                <w:rFonts w:ascii="Times" w:hAnsi="Times" w:cs="Times"/>
                <w:b/>
                <w:bCs/>
                <w:sz w:val="25"/>
                <w:szCs w:val="25"/>
              </w:rPr>
              <w:t>Vôbec nezaslali</w:t>
            </w:r>
          </w:p>
        </w:tc>
      </w:tr>
      <w:tr w:rsidR="00F85FDC">
        <w:trPr>
          <w:divId w:val="736829233"/>
          <w:jc w:val="center"/>
        </w:trPr>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1.</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rPr>
                <w:rFonts w:ascii="Times" w:hAnsi="Times" w:cs="Times"/>
                <w:sz w:val="25"/>
                <w:szCs w:val="25"/>
              </w:rPr>
            </w:pPr>
            <w:r>
              <w:rPr>
                <w:rFonts w:ascii="Times" w:hAnsi="Times" w:cs="Times"/>
                <w:sz w:val="25"/>
                <w:szCs w:val="25"/>
              </w:rPr>
              <w:t>Asociácia zamestnávatelských zväzov a združení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sz w:val="20"/>
                <w:szCs w:val="20"/>
              </w:rPr>
            </w:pPr>
          </w:p>
        </w:tc>
      </w:tr>
      <w:tr w:rsidR="00F85FDC">
        <w:trPr>
          <w:divId w:val="736829233"/>
          <w:jc w:val="center"/>
        </w:trPr>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2.</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rPr>
                <w:rFonts w:ascii="Times" w:hAnsi="Times" w:cs="Times"/>
                <w:sz w:val="25"/>
                <w:szCs w:val="25"/>
              </w:rPr>
            </w:pPr>
            <w:r>
              <w:rPr>
                <w:rFonts w:ascii="Times" w:hAnsi="Times" w:cs="Times"/>
                <w:sz w:val="25"/>
                <w:szCs w:val="25"/>
              </w:rPr>
              <w:t>Generálna prokuratúra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sz w:val="20"/>
                <w:szCs w:val="20"/>
              </w:rPr>
            </w:pPr>
          </w:p>
        </w:tc>
      </w:tr>
      <w:tr w:rsidR="00F85FDC">
        <w:trPr>
          <w:divId w:val="736829233"/>
          <w:jc w:val="center"/>
        </w:trPr>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3.</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rPr>
                <w:rFonts w:ascii="Times" w:hAnsi="Times" w:cs="Times"/>
                <w:sz w:val="25"/>
                <w:szCs w:val="25"/>
              </w:rPr>
            </w:pPr>
            <w:r>
              <w:rPr>
                <w:rFonts w:ascii="Times" w:hAnsi="Times" w:cs="Times"/>
                <w:sz w:val="25"/>
                <w:szCs w:val="25"/>
              </w:rPr>
              <w:t>Ministerstvo dopravy a výstavby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4 (4o,0z)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sz w:val="20"/>
                <w:szCs w:val="20"/>
              </w:rPr>
            </w:pPr>
          </w:p>
        </w:tc>
      </w:tr>
      <w:tr w:rsidR="00F85FDC">
        <w:trPr>
          <w:divId w:val="736829233"/>
          <w:jc w:val="center"/>
        </w:trPr>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4.</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rPr>
                <w:rFonts w:ascii="Times" w:hAnsi="Times" w:cs="Times"/>
                <w:sz w:val="25"/>
                <w:szCs w:val="25"/>
              </w:rPr>
            </w:pPr>
            <w:r>
              <w:rPr>
                <w:rFonts w:ascii="Times" w:hAnsi="Times" w:cs="Times"/>
                <w:sz w:val="25"/>
                <w:szCs w:val="25"/>
              </w:rPr>
              <w:t>Ministerstvo financií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sz w:val="20"/>
                <w:szCs w:val="20"/>
              </w:rPr>
            </w:pPr>
          </w:p>
        </w:tc>
      </w:tr>
      <w:tr w:rsidR="00F85FDC">
        <w:trPr>
          <w:divId w:val="736829233"/>
          <w:jc w:val="center"/>
        </w:trPr>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5.</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rPr>
                <w:rFonts w:ascii="Times" w:hAnsi="Times" w:cs="Times"/>
                <w:sz w:val="25"/>
                <w:szCs w:val="25"/>
              </w:rPr>
            </w:pPr>
            <w:r>
              <w:rPr>
                <w:rFonts w:ascii="Times" w:hAnsi="Times" w:cs="Times"/>
                <w:sz w:val="25"/>
                <w:szCs w:val="25"/>
              </w:rPr>
              <w:t>Ministerstvo kultúry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sz w:val="20"/>
                <w:szCs w:val="20"/>
              </w:rPr>
            </w:pPr>
          </w:p>
        </w:tc>
      </w:tr>
      <w:tr w:rsidR="00F85FDC">
        <w:trPr>
          <w:divId w:val="736829233"/>
          <w:jc w:val="center"/>
        </w:trPr>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6.</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rPr>
                <w:rFonts w:ascii="Times" w:hAnsi="Times" w:cs="Times"/>
                <w:sz w:val="25"/>
                <w:szCs w:val="25"/>
              </w:rPr>
            </w:pPr>
            <w:r>
              <w:rPr>
                <w:rFonts w:ascii="Times" w:hAnsi="Times" w:cs="Times"/>
                <w:sz w:val="25"/>
                <w:szCs w:val="25"/>
              </w:rPr>
              <w:t>Ministerstvo obrany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sz w:val="20"/>
                <w:szCs w:val="20"/>
              </w:rPr>
            </w:pPr>
          </w:p>
        </w:tc>
      </w:tr>
      <w:tr w:rsidR="00F85FDC">
        <w:trPr>
          <w:divId w:val="736829233"/>
          <w:jc w:val="center"/>
        </w:trPr>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7.</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rPr>
                <w:rFonts w:ascii="Times" w:hAnsi="Times" w:cs="Times"/>
                <w:sz w:val="25"/>
                <w:szCs w:val="25"/>
              </w:rPr>
            </w:pPr>
            <w:r>
              <w:rPr>
                <w:rFonts w:ascii="Times" w:hAnsi="Times" w:cs="Times"/>
                <w:sz w:val="25"/>
                <w:szCs w:val="25"/>
              </w:rPr>
              <w:t>Ministerstvo pôdohospodárstva a rozvoja vidieka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2 (2o,0z)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sz w:val="20"/>
                <w:szCs w:val="20"/>
              </w:rPr>
            </w:pPr>
          </w:p>
        </w:tc>
      </w:tr>
      <w:tr w:rsidR="00F85FDC">
        <w:trPr>
          <w:divId w:val="736829233"/>
          <w:jc w:val="center"/>
        </w:trPr>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8.</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rPr>
                <w:rFonts w:ascii="Times" w:hAnsi="Times" w:cs="Times"/>
                <w:sz w:val="25"/>
                <w:szCs w:val="25"/>
              </w:rPr>
            </w:pPr>
            <w:r>
              <w:rPr>
                <w:rFonts w:ascii="Times" w:hAnsi="Times" w:cs="Times"/>
                <w:sz w:val="25"/>
                <w:szCs w:val="25"/>
              </w:rPr>
              <w:t>Ministerstvo práce, sociálnych vecí a rodiny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sz w:val="20"/>
                <w:szCs w:val="20"/>
              </w:rPr>
            </w:pPr>
          </w:p>
        </w:tc>
      </w:tr>
      <w:tr w:rsidR="00F85FDC">
        <w:trPr>
          <w:divId w:val="736829233"/>
          <w:jc w:val="center"/>
        </w:trPr>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9.</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rPr>
                <w:rFonts w:ascii="Times" w:hAnsi="Times" w:cs="Times"/>
                <w:sz w:val="25"/>
                <w:szCs w:val="25"/>
              </w:rPr>
            </w:pPr>
            <w:r>
              <w:rPr>
                <w:rFonts w:ascii="Times" w:hAnsi="Times" w:cs="Times"/>
                <w:sz w:val="25"/>
                <w:szCs w:val="25"/>
              </w:rPr>
              <w:t>Ministerstvo spravodlivosti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sz w:val="20"/>
                <w:szCs w:val="20"/>
              </w:rPr>
            </w:pPr>
          </w:p>
        </w:tc>
      </w:tr>
      <w:tr w:rsidR="00F85FDC">
        <w:trPr>
          <w:divId w:val="736829233"/>
          <w:jc w:val="center"/>
        </w:trPr>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10.</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rPr>
                <w:rFonts w:ascii="Times" w:hAnsi="Times" w:cs="Times"/>
                <w:sz w:val="25"/>
                <w:szCs w:val="25"/>
              </w:rPr>
            </w:pPr>
            <w:r>
              <w:rPr>
                <w:rFonts w:ascii="Times" w:hAnsi="Times" w:cs="Times"/>
                <w:sz w:val="25"/>
                <w:szCs w:val="25"/>
              </w:rPr>
              <w:t>Ministerstvo školstva, vedy, výskumu a športu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sz w:val="20"/>
                <w:szCs w:val="20"/>
              </w:rPr>
            </w:pPr>
          </w:p>
        </w:tc>
      </w:tr>
      <w:tr w:rsidR="00F85FDC">
        <w:trPr>
          <w:divId w:val="736829233"/>
          <w:jc w:val="center"/>
        </w:trPr>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11.</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rPr>
                <w:rFonts w:ascii="Times" w:hAnsi="Times" w:cs="Times"/>
                <w:sz w:val="25"/>
                <w:szCs w:val="25"/>
              </w:rPr>
            </w:pPr>
            <w:r>
              <w:rPr>
                <w:rFonts w:ascii="Times" w:hAnsi="Times" w:cs="Times"/>
                <w:sz w:val="25"/>
                <w:szCs w:val="25"/>
              </w:rPr>
              <w:t>Ministerstvo vnútra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sz w:val="20"/>
                <w:szCs w:val="20"/>
              </w:rPr>
            </w:pPr>
          </w:p>
        </w:tc>
      </w:tr>
      <w:tr w:rsidR="00F85FDC">
        <w:trPr>
          <w:divId w:val="736829233"/>
          <w:jc w:val="center"/>
        </w:trPr>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12.</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rPr>
                <w:rFonts w:ascii="Times" w:hAnsi="Times" w:cs="Times"/>
                <w:sz w:val="25"/>
                <w:szCs w:val="25"/>
              </w:rPr>
            </w:pPr>
            <w:r>
              <w:rPr>
                <w:rFonts w:ascii="Times" w:hAnsi="Times" w:cs="Times"/>
                <w:sz w:val="25"/>
                <w:szCs w:val="25"/>
              </w:rPr>
              <w:t>Ministerstvo životného prostredia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sz w:val="20"/>
                <w:szCs w:val="20"/>
              </w:rPr>
            </w:pPr>
          </w:p>
        </w:tc>
      </w:tr>
      <w:tr w:rsidR="00F85FDC">
        <w:trPr>
          <w:divId w:val="736829233"/>
          <w:jc w:val="center"/>
        </w:trPr>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13.</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rPr>
                <w:rFonts w:ascii="Times" w:hAnsi="Times" w:cs="Times"/>
                <w:sz w:val="25"/>
                <w:szCs w:val="25"/>
              </w:rPr>
            </w:pPr>
            <w:r>
              <w:rPr>
                <w:rFonts w:ascii="Times" w:hAnsi="Times" w:cs="Times"/>
                <w:sz w:val="25"/>
                <w:szCs w:val="25"/>
              </w:rPr>
              <w:t>Národná banka Slovenska</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sz w:val="20"/>
                <w:szCs w:val="20"/>
              </w:rPr>
            </w:pPr>
          </w:p>
        </w:tc>
      </w:tr>
      <w:tr w:rsidR="00F85FDC">
        <w:trPr>
          <w:divId w:val="736829233"/>
          <w:jc w:val="center"/>
        </w:trPr>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14.</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rPr>
                <w:rFonts w:ascii="Times" w:hAnsi="Times" w:cs="Times"/>
                <w:sz w:val="25"/>
                <w:szCs w:val="25"/>
              </w:rPr>
            </w:pPr>
            <w:r>
              <w:rPr>
                <w:rFonts w:ascii="Times" w:hAnsi="Times" w:cs="Times"/>
                <w:sz w:val="25"/>
                <w:szCs w:val="25"/>
              </w:rPr>
              <w:t>Úrad geodézie, kartografie a katastra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sz w:val="20"/>
                <w:szCs w:val="20"/>
              </w:rPr>
            </w:pPr>
          </w:p>
        </w:tc>
      </w:tr>
      <w:tr w:rsidR="00F85FDC">
        <w:trPr>
          <w:divId w:val="736829233"/>
          <w:jc w:val="center"/>
        </w:trPr>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15.</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rPr>
                <w:rFonts w:ascii="Times" w:hAnsi="Times" w:cs="Times"/>
                <w:sz w:val="25"/>
                <w:szCs w:val="25"/>
              </w:rPr>
            </w:pPr>
            <w:r>
              <w:rPr>
                <w:rFonts w:ascii="Times" w:hAnsi="Times" w:cs="Times"/>
                <w:sz w:val="25"/>
                <w:szCs w:val="25"/>
              </w:rPr>
              <w:t>Úrad podpredsedu vlády Slovenskej republiky pre investície a informatizáciu</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sz w:val="20"/>
                <w:szCs w:val="20"/>
              </w:rPr>
            </w:pPr>
          </w:p>
        </w:tc>
      </w:tr>
      <w:tr w:rsidR="00F85FDC">
        <w:trPr>
          <w:divId w:val="736829233"/>
          <w:jc w:val="center"/>
        </w:trPr>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16.</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rPr>
                <w:rFonts w:ascii="Times" w:hAnsi="Times" w:cs="Times"/>
                <w:sz w:val="25"/>
                <w:szCs w:val="25"/>
              </w:rPr>
            </w:pPr>
            <w:r>
              <w:rPr>
                <w:rFonts w:ascii="Times" w:hAnsi="Times" w:cs="Times"/>
                <w:sz w:val="25"/>
                <w:szCs w:val="25"/>
              </w:rPr>
              <w:t>Verejnosť</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sz w:val="20"/>
                <w:szCs w:val="20"/>
              </w:rPr>
            </w:pPr>
          </w:p>
        </w:tc>
      </w:tr>
      <w:tr w:rsidR="00F85FDC">
        <w:trPr>
          <w:divId w:val="736829233"/>
          <w:jc w:val="center"/>
        </w:trPr>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17.</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rPr>
                <w:rFonts w:ascii="Times" w:hAnsi="Times" w:cs="Times"/>
                <w:sz w:val="25"/>
                <w:szCs w:val="25"/>
              </w:rPr>
            </w:pPr>
            <w:r>
              <w:rPr>
                <w:rFonts w:ascii="Times" w:hAnsi="Times" w:cs="Times"/>
                <w:sz w:val="25"/>
                <w:szCs w:val="25"/>
              </w:rPr>
              <w:t>Štatistický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p>
        </w:tc>
      </w:tr>
      <w:tr w:rsidR="00F85FDC">
        <w:trPr>
          <w:divId w:val="736829233"/>
          <w:jc w:val="center"/>
        </w:trPr>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18.</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rPr>
                <w:rFonts w:ascii="Times" w:hAnsi="Times" w:cs="Times"/>
                <w:sz w:val="25"/>
                <w:szCs w:val="25"/>
              </w:rPr>
            </w:pPr>
            <w:r>
              <w:rPr>
                <w:rFonts w:ascii="Times" w:hAnsi="Times" w:cs="Times"/>
                <w:sz w:val="25"/>
                <w:szCs w:val="25"/>
              </w:rPr>
              <w:t>Národný bezpečnostný úrad</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p>
        </w:tc>
      </w:tr>
      <w:tr w:rsidR="00F85FDC">
        <w:trPr>
          <w:divId w:val="736829233"/>
          <w:jc w:val="center"/>
        </w:trPr>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19.</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rPr>
                <w:rFonts w:ascii="Times" w:hAnsi="Times" w:cs="Times"/>
                <w:sz w:val="25"/>
                <w:szCs w:val="25"/>
              </w:rPr>
            </w:pPr>
            <w:r>
              <w:rPr>
                <w:rFonts w:ascii="Times" w:hAnsi="Times" w:cs="Times"/>
                <w:sz w:val="25"/>
                <w:szCs w:val="25"/>
              </w:rPr>
              <w:t>Úrad pre normalizáciu, metrológiu a skúšobníctvo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p>
        </w:tc>
      </w:tr>
      <w:tr w:rsidR="00F85FDC">
        <w:trPr>
          <w:divId w:val="736829233"/>
          <w:jc w:val="center"/>
        </w:trPr>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20.</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rPr>
                <w:rFonts w:ascii="Times" w:hAnsi="Times" w:cs="Times"/>
                <w:sz w:val="25"/>
                <w:szCs w:val="25"/>
              </w:rPr>
            </w:pPr>
            <w:r>
              <w:rPr>
                <w:rFonts w:ascii="Times" w:hAnsi="Times" w:cs="Times"/>
                <w:sz w:val="25"/>
                <w:szCs w:val="25"/>
              </w:rPr>
              <w:t>Úrad priemyselného vlastníctva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p>
        </w:tc>
      </w:tr>
      <w:tr w:rsidR="00F85FDC">
        <w:trPr>
          <w:divId w:val="736829233"/>
          <w:jc w:val="center"/>
        </w:trPr>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21.</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rPr>
                <w:rFonts w:ascii="Times" w:hAnsi="Times" w:cs="Times"/>
                <w:sz w:val="25"/>
                <w:szCs w:val="25"/>
              </w:rPr>
            </w:pPr>
            <w:r>
              <w:rPr>
                <w:rFonts w:ascii="Times" w:hAnsi="Times" w:cs="Times"/>
                <w:sz w:val="25"/>
                <w:szCs w:val="25"/>
              </w:rPr>
              <w:t>Ministerstvo hospodárstva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p>
        </w:tc>
      </w:tr>
      <w:tr w:rsidR="00F85FDC">
        <w:trPr>
          <w:divId w:val="736829233"/>
          <w:jc w:val="center"/>
        </w:trPr>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22.</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rPr>
                <w:rFonts w:ascii="Times" w:hAnsi="Times" w:cs="Times"/>
                <w:sz w:val="25"/>
                <w:szCs w:val="25"/>
              </w:rPr>
            </w:pPr>
            <w:r>
              <w:rPr>
                <w:rFonts w:ascii="Times" w:hAnsi="Times" w:cs="Times"/>
                <w:sz w:val="25"/>
                <w:szCs w:val="25"/>
              </w:rPr>
              <w:t>Ministerstvo zahraničných vecí a európskych záležitostí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p>
        </w:tc>
      </w:tr>
      <w:tr w:rsidR="00F85FDC">
        <w:trPr>
          <w:divId w:val="736829233"/>
          <w:jc w:val="center"/>
        </w:trPr>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23.</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rPr>
                <w:rFonts w:ascii="Times" w:hAnsi="Times" w:cs="Times"/>
                <w:sz w:val="25"/>
                <w:szCs w:val="25"/>
              </w:rPr>
            </w:pPr>
            <w:r>
              <w:rPr>
                <w:rFonts w:ascii="Times" w:hAnsi="Times" w:cs="Times"/>
                <w:sz w:val="25"/>
                <w:szCs w:val="25"/>
              </w:rPr>
              <w:t>Protimonopolný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p>
        </w:tc>
      </w:tr>
      <w:tr w:rsidR="00F85FDC">
        <w:trPr>
          <w:divId w:val="736829233"/>
          <w:jc w:val="center"/>
        </w:trPr>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24.</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rPr>
                <w:rFonts w:ascii="Times" w:hAnsi="Times" w:cs="Times"/>
                <w:sz w:val="25"/>
                <w:szCs w:val="25"/>
              </w:rPr>
            </w:pPr>
            <w:r>
              <w:rPr>
                <w:rFonts w:ascii="Times" w:hAnsi="Times" w:cs="Times"/>
                <w:sz w:val="25"/>
                <w:szCs w:val="25"/>
              </w:rPr>
              <w:t>Ministerstvo zdravotníctva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x</w:t>
            </w:r>
          </w:p>
        </w:tc>
      </w:tr>
      <w:tr w:rsidR="00F85FDC">
        <w:trPr>
          <w:divId w:val="736829233"/>
          <w:jc w:val="center"/>
        </w:trPr>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25.</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rPr>
                <w:rFonts w:ascii="Times" w:hAnsi="Times" w:cs="Times"/>
                <w:sz w:val="25"/>
                <w:szCs w:val="25"/>
              </w:rPr>
            </w:pPr>
            <w:r>
              <w:rPr>
                <w:rFonts w:ascii="Times" w:hAnsi="Times" w:cs="Times"/>
                <w:sz w:val="25"/>
                <w:szCs w:val="25"/>
              </w:rPr>
              <w:t>Úrad vlády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x</w:t>
            </w:r>
          </w:p>
        </w:tc>
      </w:tr>
      <w:tr w:rsidR="00F85FDC">
        <w:trPr>
          <w:divId w:val="736829233"/>
          <w:jc w:val="center"/>
        </w:trPr>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26.</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rPr>
                <w:rFonts w:ascii="Times" w:hAnsi="Times" w:cs="Times"/>
                <w:sz w:val="25"/>
                <w:szCs w:val="25"/>
              </w:rPr>
            </w:pPr>
            <w:r>
              <w:rPr>
                <w:rFonts w:ascii="Times" w:hAnsi="Times" w:cs="Times"/>
                <w:sz w:val="25"/>
                <w:szCs w:val="25"/>
              </w:rPr>
              <w:t>Úrad pre verejné obstarávanie</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x</w:t>
            </w:r>
          </w:p>
        </w:tc>
      </w:tr>
      <w:tr w:rsidR="00F85FDC">
        <w:trPr>
          <w:divId w:val="736829233"/>
          <w:jc w:val="center"/>
        </w:trPr>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27.</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rPr>
                <w:rFonts w:ascii="Times" w:hAnsi="Times" w:cs="Times"/>
                <w:sz w:val="25"/>
                <w:szCs w:val="25"/>
              </w:rPr>
            </w:pPr>
            <w:r>
              <w:rPr>
                <w:rFonts w:ascii="Times" w:hAnsi="Times" w:cs="Times"/>
                <w:sz w:val="25"/>
                <w:szCs w:val="25"/>
              </w:rPr>
              <w:t>Úrad jadrového dozoru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x</w:t>
            </w:r>
          </w:p>
        </w:tc>
      </w:tr>
      <w:tr w:rsidR="00F85FDC">
        <w:trPr>
          <w:divId w:val="736829233"/>
          <w:jc w:val="center"/>
        </w:trPr>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28.</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rPr>
                <w:rFonts w:ascii="Times" w:hAnsi="Times" w:cs="Times"/>
                <w:sz w:val="25"/>
                <w:szCs w:val="25"/>
              </w:rPr>
            </w:pPr>
            <w:r>
              <w:rPr>
                <w:rFonts w:ascii="Times" w:hAnsi="Times" w:cs="Times"/>
                <w:sz w:val="25"/>
                <w:szCs w:val="25"/>
              </w:rPr>
              <w:t>Správa štátnych hmotných rezerv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x</w:t>
            </w:r>
          </w:p>
        </w:tc>
      </w:tr>
      <w:tr w:rsidR="00F85FDC">
        <w:trPr>
          <w:divId w:val="736829233"/>
          <w:jc w:val="center"/>
        </w:trPr>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29.</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rPr>
                <w:rFonts w:ascii="Times" w:hAnsi="Times" w:cs="Times"/>
                <w:sz w:val="25"/>
                <w:szCs w:val="25"/>
              </w:rPr>
            </w:pPr>
            <w:r>
              <w:rPr>
                <w:rFonts w:ascii="Times" w:hAnsi="Times" w:cs="Times"/>
                <w:sz w:val="25"/>
                <w:szCs w:val="25"/>
              </w:rPr>
              <w:t>Najvyšší kontrolný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x</w:t>
            </w:r>
          </w:p>
        </w:tc>
      </w:tr>
      <w:tr w:rsidR="00F85FDC">
        <w:trPr>
          <w:divId w:val="736829233"/>
          <w:jc w:val="center"/>
        </w:trPr>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30.</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rPr>
                <w:rFonts w:ascii="Times" w:hAnsi="Times" w:cs="Times"/>
                <w:sz w:val="25"/>
                <w:szCs w:val="25"/>
              </w:rPr>
            </w:pPr>
            <w:r>
              <w:rPr>
                <w:rFonts w:ascii="Times" w:hAnsi="Times" w:cs="Times"/>
                <w:sz w:val="25"/>
                <w:szCs w:val="25"/>
              </w:rPr>
              <w:t>Najvyšší súd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x</w:t>
            </w:r>
          </w:p>
        </w:tc>
      </w:tr>
      <w:tr w:rsidR="00F85FDC">
        <w:trPr>
          <w:divId w:val="736829233"/>
          <w:jc w:val="center"/>
        </w:trPr>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31.</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rPr>
                <w:rFonts w:ascii="Times" w:hAnsi="Times" w:cs="Times"/>
                <w:sz w:val="25"/>
                <w:szCs w:val="25"/>
              </w:rPr>
            </w:pPr>
            <w:r>
              <w:rPr>
                <w:rFonts w:ascii="Times" w:hAnsi="Times" w:cs="Times"/>
                <w:sz w:val="25"/>
                <w:szCs w:val="25"/>
              </w:rPr>
              <w:t>Národná rada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x</w:t>
            </w:r>
          </w:p>
        </w:tc>
      </w:tr>
      <w:tr w:rsidR="00F85FDC">
        <w:trPr>
          <w:divId w:val="736829233"/>
          <w:jc w:val="center"/>
        </w:trPr>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32.</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rPr>
                <w:rFonts w:ascii="Times" w:hAnsi="Times" w:cs="Times"/>
                <w:sz w:val="25"/>
                <w:szCs w:val="25"/>
              </w:rPr>
            </w:pPr>
            <w:r>
              <w:rPr>
                <w:rFonts w:ascii="Times" w:hAnsi="Times" w:cs="Times"/>
                <w:sz w:val="25"/>
                <w:szCs w:val="25"/>
              </w:rPr>
              <w:t>Kancelária Ústavného súdu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x</w:t>
            </w:r>
          </w:p>
        </w:tc>
      </w:tr>
      <w:tr w:rsidR="00F85FDC">
        <w:trPr>
          <w:divId w:val="736829233"/>
          <w:jc w:val="center"/>
        </w:trPr>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33.</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rPr>
                <w:rFonts w:ascii="Times" w:hAnsi="Times" w:cs="Times"/>
                <w:sz w:val="25"/>
                <w:szCs w:val="25"/>
              </w:rPr>
            </w:pPr>
            <w:r>
              <w:rPr>
                <w:rFonts w:ascii="Times" w:hAnsi="Times" w:cs="Times"/>
                <w:sz w:val="25"/>
                <w:szCs w:val="25"/>
              </w:rPr>
              <w:t>Odbor aproximácie práva sekcie vládnej legislatívy Úradu vlády SR</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x</w:t>
            </w:r>
          </w:p>
        </w:tc>
      </w:tr>
      <w:tr w:rsidR="00F85FDC">
        <w:trPr>
          <w:divId w:val="736829233"/>
          <w:jc w:val="center"/>
        </w:trPr>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34.</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rPr>
                <w:rFonts w:ascii="Times" w:hAnsi="Times" w:cs="Times"/>
                <w:sz w:val="25"/>
                <w:szCs w:val="25"/>
              </w:rPr>
            </w:pPr>
            <w:r>
              <w:rPr>
                <w:rFonts w:ascii="Times" w:hAnsi="Times" w:cs="Times"/>
                <w:sz w:val="25"/>
                <w:szCs w:val="25"/>
              </w:rPr>
              <w:t>Slovenská poľnohospodárska a potravinárska komora</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x</w:t>
            </w:r>
          </w:p>
        </w:tc>
      </w:tr>
      <w:tr w:rsidR="00F85FDC">
        <w:trPr>
          <w:divId w:val="736829233"/>
          <w:jc w:val="center"/>
        </w:trPr>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35.</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rPr>
                <w:rFonts w:ascii="Times" w:hAnsi="Times" w:cs="Times"/>
                <w:sz w:val="25"/>
                <w:szCs w:val="25"/>
              </w:rPr>
            </w:pPr>
            <w:r>
              <w:rPr>
                <w:rFonts w:ascii="Times" w:hAnsi="Times" w:cs="Times"/>
                <w:sz w:val="25"/>
                <w:szCs w:val="25"/>
              </w:rPr>
              <w:t>Združenie miest a obcí Slovenska</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x</w:t>
            </w:r>
          </w:p>
        </w:tc>
      </w:tr>
      <w:tr w:rsidR="00F85FDC">
        <w:trPr>
          <w:divId w:val="736829233"/>
          <w:jc w:val="center"/>
        </w:trPr>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36.</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rPr>
                <w:rFonts w:ascii="Times" w:hAnsi="Times" w:cs="Times"/>
                <w:sz w:val="25"/>
                <w:szCs w:val="25"/>
              </w:rPr>
            </w:pPr>
            <w:r>
              <w:rPr>
                <w:rFonts w:ascii="Times" w:hAnsi="Times" w:cs="Times"/>
                <w:sz w:val="25"/>
                <w:szCs w:val="25"/>
              </w:rPr>
              <w:t>Splnomocnenec vlády Slovenskej republiky pre rómske komunity</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x</w:t>
            </w:r>
          </w:p>
        </w:tc>
      </w:tr>
      <w:tr w:rsidR="00F85FDC">
        <w:trPr>
          <w:divId w:val="736829233"/>
          <w:jc w:val="center"/>
        </w:trPr>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37.</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rPr>
                <w:rFonts w:ascii="Times" w:hAnsi="Times" w:cs="Times"/>
                <w:sz w:val="25"/>
                <w:szCs w:val="25"/>
              </w:rPr>
            </w:pPr>
            <w:r>
              <w:rPr>
                <w:rFonts w:ascii="Times" w:hAnsi="Times" w:cs="Times"/>
                <w:sz w:val="25"/>
                <w:szCs w:val="25"/>
              </w:rPr>
              <w:t>Konfederácia odborových zväzov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x</w:t>
            </w:r>
          </w:p>
        </w:tc>
      </w:tr>
      <w:tr w:rsidR="00F85FDC">
        <w:trPr>
          <w:divId w:val="736829233"/>
          <w:jc w:val="center"/>
        </w:trPr>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38.</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rPr>
                <w:rFonts w:ascii="Times" w:hAnsi="Times" w:cs="Times"/>
                <w:sz w:val="25"/>
                <w:szCs w:val="25"/>
              </w:rPr>
            </w:pPr>
            <w:r>
              <w:rPr>
                <w:rFonts w:ascii="Times" w:hAnsi="Times" w:cs="Times"/>
                <w:sz w:val="25"/>
                <w:szCs w:val="25"/>
              </w:rPr>
              <w:t>Republiková únia zamestnávateľov</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x</w:t>
            </w:r>
          </w:p>
        </w:tc>
      </w:tr>
      <w:tr w:rsidR="00F85FDC">
        <w:trPr>
          <w:divId w:val="736829233"/>
          <w:jc w:val="center"/>
        </w:trPr>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39.</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rPr>
                <w:rFonts w:ascii="Times" w:hAnsi="Times" w:cs="Times"/>
                <w:sz w:val="25"/>
                <w:szCs w:val="25"/>
              </w:rPr>
            </w:pPr>
            <w:r>
              <w:rPr>
                <w:rFonts w:ascii="Times" w:hAnsi="Times" w:cs="Times"/>
                <w:sz w:val="25"/>
                <w:szCs w:val="25"/>
              </w:rPr>
              <w:t>Úrad pre dohľad nad zdravotnou starostlivosťou</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x</w:t>
            </w:r>
          </w:p>
        </w:tc>
      </w:tr>
      <w:tr w:rsidR="00F85FDC">
        <w:trPr>
          <w:divId w:val="736829233"/>
          <w:jc w:val="center"/>
        </w:trPr>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40.</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rPr>
                <w:rFonts w:ascii="Times" w:hAnsi="Times" w:cs="Times"/>
                <w:sz w:val="25"/>
                <w:szCs w:val="25"/>
              </w:rPr>
            </w:pPr>
            <w:r>
              <w:rPr>
                <w:rFonts w:ascii="Times" w:hAnsi="Times" w:cs="Times"/>
                <w:sz w:val="25"/>
                <w:szCs w:val="25"/>
              </w:rPr>
              <w:t>Konferencia biskupov Slovenska</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x</w:t>
            </w:r>
          </w:p>
        </w:tc>
      </w:tr>
      <w:tr w:rsidR="00F85FDC">
        <w:trPr>
          <w:divId w:val="736829233"/>
          <w:jc w:val="center"/>
        </w:trPr>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rPr>
                <w:rFonts w:ascii="Times" w:hAnsi="Times" w:cs="Times"/>
                <w:sz w:val="25"/>
                <w:szCs w:val="25"/>
              </w:rPr>
            </w:pPr>
            <w:r>
              <w:rPr>
                <w:rFonts w:ascii="Times" w:hAnsi="Times" w:cs="Times"/>
                <w:sz w:val="25"/>
                <w:szCs w:val="25"/>
              </w:rPr>
              <w:t>Spolu</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20 (20o,0z)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F85FDC" w:rsidRDefault="00F85FDC">
            <w:pPr>
              <w:jc w:val="center"/>
              <w:rPr>
                <w:sz w:val="20"/>
                <w:szCs w:val="20"/>
              </w:rPr>
            </w:pPr>
          </w:p>
        </w:tc>
      </w:tr>
    </w:tbl>
    <w:p w:rsidR="00BF7CE0" w:rsidRPr="00BF7CE0" w:rsidRDefault="00BF7CE0" w:rsidP="00841FA6">
      <w:pPr>
        <w:rPr>
          <w:b/>
          <w:bCs/>
          <w:color w:val="000000"/>
          <w:sz w:val="20"/>
          <w:szCs w:val="20"/>
        </w:rPr>
      </w:pPr>
      <w:r w:rsidRPr="009F7218">
        <w:rPr>
          <w:rFonts w:ascii="Times New Roman" w:eastAsia="Times New Roman" w:hAnsi="Times New Roman" w:cs="Times New Roman"/>
          <w:bCs/>
          <w:color w:val="000000"/>
          <w:sz w:val="25"/>
          <w:szCs w:val="25"/>
          <w:lang w:eastAsia="sk-SK"/>
        </w:rPr>
        <w:t>Vyhodnotenie vecných pripomienok je uvedené v tabuľkovej časti.</w:t>
      </w:r>
    </w:p>
    <w:p w:rsidR="00BF7CE0" w:rsidRPr="00BF7CE0" w:rsidRDefault="00BF7CE0" w:rsidP="00BF7CE0">
      <w:pPr>
        <w:pStyle w:val="Zkladntext"/>
        <w:widowControl/>
        <w:jc w:val="both"/>
        <w:rPr>
          <w:b w:val="0"/>
          <w:bCs w:val="0"/>
          <w:color w:val="000000"/>
          <w:sz w:val="20"/>
          <w:szCs w:val="20"/>
        </w:rPr>
      </w:pPr>
    </w:p>
    <w:tbl>
      <w:tblPr>
        <w:tblW w:w="0" w:type="auto"/>
        <w:tblLook w:val="0000" w:firstRow="0" w:lastRow="0" w:firstColumn="0" w:lastColumn="0" w:noHBand="0" w:noVBand="0"/>
      </w:tblPr>
      <w:tblGrid>
        <w:gridCol w:w="1809"/>
        <w:gridCol w:w="3119"/>
      </w:tblGrid>
      <w:tr w:rsidR="00BF7CE0" w:rsidRPr="00BF7CE0" w:rsidTr="00943EB2">
        <w:trPr>
          <w:cantSplit/>
        </w:trPr>
        <w:tc>
          <w:tcPr>
            <w:tcW w:w="4928" w:type="dxa"/>
            <w:gridSpan w:val="2"/>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Vysvetlivky  k použitým skratkám v tabuľke:</w:t>
            </w:r>
          </w:p>
        </w:tc>
      </w:tr>
      <w:tr w:rsidR="00BF7CE0" w:rsidRPr="00BF7CE0" w:rsidTr="00943EB2">
        <w:trPr>
          <w:cantSplit/>
        </w:trPr>
        <w:tc>
          <w:tcPr>
            <w:tcW w:w="180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O – obyčajná</w:t>
            </w:r>
          </w:p>
        </w:tc>
        <w:tc>
          <w:tcPr>
            <w:tcW w:w="311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A – akceptovaná</w:t>
            </w:r>
          </w:p>
        </w:tc>
      </w:tr>
      <w:tr w:rsidR="00BF7CE0" w:rsidRPr="00BF7CE0" w:rsidTr="00943EB2">
        <w:trPr>
          <w:cantSplit/>
        </w:trPr>
        <w:tc>
          <w:tcPr>
            <w:tcW w:w="180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Z – zásadná</w:t>
            </w:r>
          </w:p>
        </w:tc>
        <w:tc>
          <w:tcPr>
            <w:tcW w:w="311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N – neakceptovaná</w:t>
            </w:r>
          </w:p>
        </w:tc>
      </w:tr>
      <w:tr w:rsidR="00BF7CE0" w:rsidRPr="00856FFA" w:rsidTr="00943EB2">
        <w:trPr>
          <w:cantSplit/>
        </w:trPr>
        <w:tc>
          <w:tcPr>
            <w:tcW w:w="180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p>
        </w:tc>
        <w:tc>
          <w:tcPr>
            <w:tcW w:w="311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ČA – čiastočne akceptovaná</w:t>
            </w:r>
          </w:p>
        </w:tc>
      </w:tr>
    </w:tbl>
    <w:p w:rsidR="00E85710" w:rsidRDefault="00E85710">
      <w:r>
        <w:br w:type="page"/>
      </w:r>
    </w:p>
    <w:p w:rsidR="00F85FDC" w:rsidRDefault="00F85FDC" w:rsidP="00CE47A6">
      <w:pPr>
        <w:rPr>
          <w:rFonts w:ascii="Consolas" w:hAnsi="Consolas" w:cs="Consolas"/>
          <w:sz w:val="20"/>
          <w:szCs w:val="20"/>
        </w:rPr>
      </w:pPr>
    </w:p>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1335"/>
        <w:gridCol w:w="4361"/>
        <w:gridCol w:w="446"/>
        <w:gridCol w:w="523"/>
        <w:gridCol w:w="2391"/>
      </w:tblGrid>
      <w:tr w:rsidR="00F85FDC">
        <w:trPr>
          <w:divId w:val="16351392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b/>
                <w:bCs/>
                <w:sz w:val="25"/>
                <w:szCs w:val="25"/>
              </w:rPr>
            </w:pPr>
            <w:r>
              <w:rPr>
                <w:rFonts w:ascii="Times" w:hAnsi="Times" w:cs="Times"/>
                <w:b/>
                <w:bCs/>
                <w:sz w:val="25"/>
                <w:szCs w:val="25"/>
              </w:rPr>
              <w:t>Subjekt</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b/>
                <w:bCs/>
                <w:sz w:val="25"/>
                <w:szCs w:val="25"/>
              </w:rPr>
            </w:pPr>
            <w:r>
              <w:rPr>
                <w:rFonts w:ascii="Times" w:hAnsi="Times" w:cs="Times"/>
                <w:b/>
                <w:bCs/>
                <w:sz w:val="25"/>
                <w:szCs w:val="25"/>
              </w:rPr>
              <w:t>Pripomienka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b/>
                <w:bCs/>
                <w:sz w:val="25"/>
                <w:szCs w:val="25"/>
              </w:rPr>
            </w:pPr>
            <w:r>
              <w:rPr>
                <w:rFonts w:ascii="Times" w:hAnsi="Times" w:cs="Times"/>
                <w:b/>
                <w:bCs/>
                <w:sz w:val="25"/>
                <w:szCs w:val="25"/>
              </w:rPr>
              <w:t>Typ</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b/>
                <w:bCs/>
                <w:sz w:val="25"/>
                <w:szCs w:val="25"/>
              </w:rPr>
            </w:pPr>
            <w:r>
              <w:rPr>
                <w:rFonts w:ascii="Times" w:hAnsi="Times" w:cs="Times"/>
                <w:b/>
                <w:bCs/>
                <w:sz w:val="25"/>
                <w:szCs w:val="25"/>
              </w:rPr>
              <w:t>Vyh.</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b/>
                <w:bCs/>
                <w:sz w:val="25"/>
                <w:szCs w:val="25"/>
              </w:rPr>
            </w:pPr>
            <w:r>
              <w:rPr>
                <w:rFonts w:ascii="Times" w:hAnsi="Times" w:cs="Times"/>
                <w:b/>
                <w:bCs/>
                <w:sz w:val="25"/>
                <w:szCs w:val="25"/>
              </w:rPr>
              <w:t>Spôsob vyhodnotenia</w:t>
            </w:r>
          </w:p>
        </w:tc>
      </w:tr>
      <w:tr w:rsidR="00F85FDC">
        <w:trPr>
          <w:divId w:val="16351392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b/>
                <w:bCs/>
                <w:sz w:val="25"/>
                <w:szCs w:val="25"/>
              </w:rPr>
            </w:pPr>
            <w:r>
              <w:rPr>
                <w:rFonts w:ascii="Times" w:hAnsi="Times" w:cs="Times"/>
                <w:b/>
                <w:bCs/>
                <w:sz w:val="25"/>
                <w:szCs w:val="25"/>
              </w:rPr>
              <w:t>AZZZ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rPr>
                <w:rFonts w:ascii="Times" w:hAnsi="Times" w:cs="Times"/>
                <w:sz w:val="25"/>
                <w:szCs w:val="25"/>
              </w:rPr>
            </w:pPr>
            <w:r>
              <w:rPr>
                <w:rFonts w:ascii="Times" w:hAnsi="Times" w:cs="Times"/>
                <w:sz w:val="25"/>
                <w:szCs w:val="25"/>
              </w:rPr>
              <w:br/>
              <w:t>k predloženému návrhu 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sz w:val="25"/>
                <w:szCs w:val="25"/>
              </w:rPr>
            </w:pP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sz w:val="20"/>
                <w:szCs w:val="20"/>
              </w:rPr>
            </w:pPr>
          </w:p>
        </w:tc>
      </w:tr>
      <w:tr w:rsidR="00F85FDC">
        <w:trPr>
          <w:divId w:val="16351392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b/>
                <w:bCs/>
                <w:sz w:val="25"/>
                <w:szCs w:val="25"/>
              </w:rPr>
            </w:pPr>
            <w:r>
              <w:rPr>
                <w:rFonts w:ascii="Times" w:hAnsi="Times" w:cs="Times"/>
                <w:b/>
                <w:bCs/>
                <w:sz w:val="25"/>
                <w:szCs w:val="25"/>
              </w:rPr>
              <w:t>GPSR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sz w:val="25"/>
                <w:szCs w:val="25"/>
              </w:rPr>
            </w:pP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sz w:val="20"/>
                <w:szCs w:val="20"/>
              </w:rPr>
            </w:pPr>
          </w:p>
        </w:tc>
      </w:tr>
      <w:tr w:rsidR="00F85FDC">
        <w:trPr>
          <w:divId w:val="16351392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b/>
                <w:bCs/>
                <w:sz w:val="25"/>
                <w:szCs w:val="25"/>
              </w:rPr>
            </w:pPr>
            <w:r>
              <w:rPr>
                <w:rFonts w:ascii="Times" w:hAnsi="Times" w:cs="Times"/>
                <w:b/>
                <w:bCs/>
                <w:sz w:val="25"/>
                <w:szCs w:val="25"/>
              </w:rPr>
              <w:t>MDaVSR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rPr>
                <w:rFonts w:ascii="Times" w:hAnsi="Times" w:cs="Times"/>
                <w:sz w:val="25"/>
                <w:szCs w:val="25"/>
              </w:rPr>
            </w:pPr>
            <w:r>
              <w:rPr>
                <w:rFonts w:ascii="Times" w:hAnsi="Times" w:cs="Times"/>
                <w:sz w:val="25"/>
                <w:szCs w:val="25"/>
              </w:rPr>
              <w:br/>
              <w:t>V časti II., bod 3. (Smernica Európskeho parlamentu a Rady 2014/45/EÚ z 3. apríla 2014 o pravidelnej kontrole technického stavu motorových vozidiel a ich prípojných vozidiel a o zrušení smernice 2009/40/ES) žiadame text v časti Stav legislatívneho procesu nahradiť nasledovným textom: „Návrh zákona o prevádzke vozidiel v cestnej premávke a o zmene a doplnení niektorých zákonov bol po vyhodnotení pripomienok z medzirezortného pripomienkového konania zaslaný do Hospodárskej a sociálnej rady SR, kde je zaradený do programu rokovania dňa 6. novembra 2017. Ďalej bol zaslaný do Legislatívnej rady vlády SR, kde je zaradený do programu rokovania dňa 7. novembra 2017. V ďalšom kroku bol zaslaný na rokovanie vlády SR, kde je zaradený do programu rokovania dňa 8. novembra 2017. Následne bude odoslaný na schválenie do Národnej rady SR. V návrhu nového zákona sú pripravované aj ustanovenia, ktoré okrem iného upravujú aj kontroly vozidiel (technické kontroly vozidiel, emisné kontroly motorových vozidiel a kontroly originality vozidiel).“</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rPr>
                <w:rFonts w:ascii="Times" w:hAnsi="Times" w:cs="Times"/>
                <w:sz w:val="25"/>
                <w:szCs w:val="25"/>
              </w:rPr>
            </w:pPr>
            <w:r>
              <w:rPr>
                <w:rFonts w:ascii="Times" w:hAnsi="Times" w:cs="Times"/>
                <w:sz w:val="25"/>
                <w:szCs w:val="25"/>
              </w:rPr>
              <w:t xml:space="preserve">Stav legislatívneho procesu bol čiastočne upravený v zmysle pripomienky. </w:t>
            </w:r>
          </w:p>
        </w:tc>
      </w:tr>
      <w:tr w:rsidR="00F85FDC">
        <w:trPr>
          <w:divId w:val="16351392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b/>
                <w:bCs/>
                <w:sz w:val="25"/>
                <w:szCs w:val="25"/>
              </w:rPr>
            </w:pPr>
            <w:r>
              <w:rPr>
                <w:rFonts w:ascii="Times" w:hAnsi="Times" w:cs="Times"/>
                <w:b/>
                <w:bCs/>
                <w:sz w:val="25"/>
                <w:szCs w:val="25"/>
              </w:rPr>
              <w:t>MDaVSR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rPr>
                <w:rFonts w:ascii="Times" w:hAnsi="Times" w:cs="Times"/>
                <w:sz w:val="25"/>
                <w:szCs w:val="25"/>
              </w:rPr>
            </w:pPr>
            <w:r>
              <w:rPr>
                <w:rFonts w:ascii="Times" w:hAnsi="Times" w:cs="Times"/>
                <w:sz w:val="25"/>
                <w:szCs w:val="25"/>
              </w:rPr>
              <w:br/>
              <w:t xml:space="preserve">V časti II., bod 4. (Smernica Európskeho parlamentu a Rady 2014/46/EÚ z 3. apríla 2014 o zmene smernice Rady 1999/37/ES o registračných dokumentoch pre vozidlá) žiadame text v časti Stav legislatívneho procesu nahradiť nasledovným textom: „Návrh zákona o prevádzke vozidiel v cestnej premávke a o zmene a doplnení niektorých zákonov bol po vyhodnotení pripomienok z medzirezortného pripomienkového konania zaslaný do Hospodárskej a sociálnej rady SR, kde je zaradený do programu rokovania dňa 6. novembra 2017. Ďalej bol zaslaný do Legislatívnej rady vlády SR, kde je zaradený do programu rokovania dňa 7. novembra 2017. V ďalšom kroku bol zaslaný na rokovanie vlády SR, kde je zaradený do programu rokovania dňa 8. novembra 2017. Následne bude odoslaný na schválenie do Národnej rady SR. V návrhu nového zákona sú aj ustanovenia, v ktorých je zakomponovaný balíček opatrení EÚ o technickom stave vozidiel.“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rPr>
                <w:rFonts w:ascii="Times" w:hAnsi="Times" w:cs="Times"/>
                <w:sz w:val="25"/>
                <w:szCs w:val="25"/>
              </w:rPr>
            </w:pPr>
            <w:r>
              <w:rPr>
                <w:rFonts w:ascii="Times" w:hAnsi="Times" w:cs="Times"/>
                <w:sz w:val="25"/>
                <w:szCs w:val="25"/>
              </w:rPr>
              <w:t xml:space="preserve">Stav legislatívneho procesu bol čiastočne upravený v zmysle pripomienky. </w:t>
            </w:r>
          </w:p>
        </w:tc>
      </w:tr>
      <w:tr w:rsidR="00F85FDC">
        <w:trPr>
          <w:divId w:val="16351392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b/>
                <w:bCs/>
                <w:sz w:val="25"/>
                <w:szCs w:val="25"/>
              </w:rPr>
            </w:pPr>
            <w:r>
              <w:rPr>
                <w:rFonts w:ascii="Times" w:hAnsi="Times" w:cs="Times"/>
                <w:b/>
                <w:bCs/>
                <w:sz w:val="25"/>
                <w:szCs w:val="25"/>
              </w:rPr>
              <w:t>MDaVSR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rPr>
                <w:rFonts w:ascii="Times" w:hAnsi="Times" w:cs="Times"/>
                <w:sz w:val="25"/>
                <w:szCs w:val="25"/>
              </w:rPr>
            </w:pPr>
            <w:r>
              <w:rPr>
                <w:rFonts w:ascii="Times" w:hAnsi="Times" w:cs="Times"/>
                <w:sz w:val="25"/>
                <w:szCs w:val="25"/>
              </w:rPr>
              <w:br/>
              <w:t xml:space="preserve">V časti II., bod 5. (Smernica Európskeho parlamentu a Rady 2014/47/EÚ z 3. apríla 2014 o cestnej technickej kontrole úžitkových vozidiel prevádzkovaných v Únii a o zrušení smernice 2000/30/ES) žiadame text v časti Stav legislatívneho procesu nahradiť nasledovným textom: „Návrh zákona o prevádzke vozidiel v cestnej premávke a o zmene a doplnení niektorých zákonov bol po vyhodnotení pripomienok z medzirezortného pripomienkového konania zaslaný do Hospodárskej a sociálnej rady SR, kde je zaradený do programu rokovania dňa 6. novembra 2017. Ďalej bol zaslaný do Legislatívnej rady vlády SR, kde je zaradený do programu rokovania dňa 7. novembra 2017. V ďalšom kroku bol zaslaný na rokovanie vlády SR, kde je zaradený do programu rokovania dňa 8. novembra 2017. Následne bude odoslaný na schválenie do Národnej rady SR. V návrhu nového zákona sú pripravované aj ustanovenia, ktoré okrem iného upravujú aj cestné technické kontroly vozidiel. V týchto úpravách je zakomponovaný aj balíček opatrení EÚ o technickom stave vozidiel.“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rPr>
                <w:rFonts w:ascii="Times" w:hAnsi="Times" w:cs="Times"/>
                <w:sz w:val="25"/>
                <w:szCs w:val="25"/>
              </w:rPr>
            </w:pPr>
            <w:r>
              <w:rPr>
                <w:rFonts w:ascii="Times" w:hAnsi="Times" w:cs="Times"/>
                <w:sz w:val="25"/>
                <w:szCs w:val="25"/>
              </w:rPr>
              <w:t xml:space="preserve">Stav legislatívneho procesu bol čiastočne upravený v zmysle pripomienky. </w:t>
            </w:r>
          </w:p>
        </w:tc>
      </w:tr>
      <w:tr w:rsidR="00F85FDC">
        <w:trPr>
          <w:divId w:val="16351392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b/>
                <w:bCs/>
                <w:sz w:val="25"/>
                <w:szCs w:val="25"/>
              </w:rPr>
            </w:pPr>
            <w:r>
              <w:rPr>
                <w:rFonts w:ascii="Times" w:hAnsi="Times" w:cs="Times"/>
                <w:b/>
                <w:bCs/>
                <w:sz w:val="25"/>
                <w:szCs w:val="25"/>
              </w:rPr>
              <w:t>MDaVSR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rPr>
                <w:rFonts w:ascii="Times" w:hAnsi="Times" w:cs="Times"/>
                <w:sz w:val="25"/>
                <w:szCs w:val="25"/>
              </w:rPr>
            </w:pPr>
            <w:r>
              <w:rPr>
                <w:rFonts w:ascii="Times" w:hAnsi="Times" w:cs="Times"/>
                <w:sz w:val="25"/>
                <w:szCs w:val="25"/>
              </w:rPr>
              <w:br/>
              <w:t xml:space="preserve">V časti II., bod 6. (Smernica Európskeho parlamentu a Rady 2014/61/EÚ z 15. mája 2014 o opatreniach na zníženie nákladov na zavedenie vysokorýchlostných elektronických komunikačných sietí) žiadame text v časti Stav legislatívneho procesu nahradiť nasledovným textom: „Vládny návrh zákona bol 13. septembra 2017 prerokovaný a schválený vládou Slovenskej republiky – vládny návrh zákona bol na základe uznesenia Národnej rady Slovenskej republiky č. 866 zo dňa 12. 10. 2017 postúpený do druhého čítania. Súdny dvor doručil dňa 31. 10. 2017 žalobu Európskej komisie proti Slovenskej republike – konanie C-605/17 Európska komisia v. Slovenská republika. Toto súdne konanie je súčasťou konania pre neplnenie zmluvných povinností - porušenie č. 2016/0241.“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rPr>
                <w:rFonts w:ascii="Times" w:hAnsi="Times" w:cs="Times"/>
                <w:sz w:val="25"/>
                <w:szCs w:val="25"/>
              </w:rPr>
            </w:pPr>
            <w:r>
              <w:rPr>
                <w:rFonts w:ascii="Times" w:hAnsi="Times" w:cs="Times"/>
                <w:sz w:val="25"/>
                <w:szCs w:val="25"/>
              </w:rPr>
              <w:t xml:space="preserve">Stav legislatívneho procesu bol upravený v zmysle pripomienky. </w:t>
            </w:r>
          </w:p>
        </w:tc>
      </w:tr>
      <w:tr w:rsidR="00F85FDC">
        <w:trPr>
          <w:divId w:val="16351392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b/>
                <w:bCs/>
                <w:sz w:val="25"/>
                <w:szCs w:val="25"/>
              </w:rPr>
            </w:pPr>
            <w:r>
              <w:rPr>
                <w:rFonts w:ascii="Times" w:hAnsi="Times" w:cs="Times"/>
                <w:b/>
                <w:bCs/>
                <w:sz w:val="25"/>
                <w:szCs w:val="25"/>
              </w:rPr>
              <w:t>MFSR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rPr>
                <w:rFonts w:ascii="Times" w:hAnsi="Times" w:cs="Times"/>
                <w:sz w:val="25"/>
                <w:szCs w:val="25"/>
              </w:rPr>
            </w:pPr>
            <w:r>
              <w:rPr>
                <w:rFonts w:ascii="Times" w:hAnsi="Times" w:cs="Times"/>
                <w:sz w:val="25"/>
                <w:szCs w:val="25"/>
              </w:rPr>
              <w:br/>
              <w:t xml:space="preserve">Pripomienky k časti II. bodom 7,10 a 11, ktoré žiadam vypustiť z dôvodu, že dňa 3.11.2017 bola uskutočnená úplná notifikácia smerníc 2014/65/EÚ, 2016/1034/EÚ a 2017/593/EÚ a v tomto zmysle žiadam upraviť aj návrh uznesenia vlády SR.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rPr>
                <w:rFonts w:ascii="Times" w:hAnsi="Times" w:cs="Times"/>
                <w:sz w:val="25"/>
                <w:szCs w:val="25"/>
              </w:rPr>
            </w:pPr>
            <w:r>
              <w:rPr>
                <w:rFonts w:ascii="Times" w:hAnsi="Times" w:cs="Times"/>
                <w:sz w:val="25"/>
                <w:szCs w:val="25"/>
              </w:rPr>
              <w:t>Smernice boli vypustené z materiálu a návrh uznesenia vlády SR bol upravený v zmysle pripomienky.</w:t>
            </w:r>
          </w:p>
        </w:tc>
      </w:tr>
      <w:tr w:rsidR="00F85FDC">
        <w:trPr>
          <w:divId w:val="16351392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b/>
                <w:bCs/>
                <w:sz w:val="25"/>
                <w:szCs w:val="25"/>
              </w:rPr>
            </w:pPr>
            <w:r>
              <w:rPr>
                <w:rFonts w:ascii="Times" w:hAnsi="Times" w:cs="Times"/>
                <w:b/>
                <w:bCs/>
                <w:sz w:val="25"/>
                <w:szCs w:val="25"/>
              </w:rPr>
              <w:t>MKSR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sz w:val="25"/>
                <w:szCs w:val="25"/>
              </w:rPr>
            </w:pP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sz w:val="20"/>
                <w:szCs w:val="20"/>
              </w:rPr>
            </w:pPr>
          </w:p>
        </w:tc>
      </w:tr>
      <w:tr w:rsidR="00F85FDC">
        <w:trPr>
          <w:divId w:val="16351392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b/>
                <w:bCs/>
                <w:sz w:val="25"/>
                <w:szCs w:val="25"/>
              </w:rPr>
            </w:pPr>
            <w:r>
              <w:rPr>
                <w:rFonts w:ascii="Times" w:hAnsi="Times" w:cs="Times"/>
                <w:b/>
                <w:bCs/>
                <w:sz w:val="25"/>
                <w:szCs w:val="25"/>
              </w:rPr>
              <w:t>MOSR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sz w:val="25"/>
                <w:szCs w:val="25"/>
              </w:rPr>
            </w:pP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sz w:val="20"/>
                <w:szCs w:val="20"/>
              </w:rPr>
            </w:pPr>
          </w:p>
        </w:tc>
      </w:tr>
      <w:tr w:rsidR="00F85FDC">
        <w:trPr>
          <w:divId w:val="16351392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b/>
                <w:bCs/>
                <w:sz w:val="25"/>
                <w:szCs w:val="25"/>
              </w:rPr>
            </w:pPr>
            <w:r>
              <w:rPr>
                <w:rFonts w:ascii="Times" w:hAnsi="Times" w:cs="Times"/>
                <w:b/>
                <w:bCs/>
                <w:sz w:val="25"/>
                <w:szCs w:val="25"/>
              </w:rPr>
              <w:t>MPRVSR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rPr>
                <w:rFonts w:ascii="Times" w:hAnsi="Times" w:cs="Times"/>
                <w:sz w:val="25"/>
                <w:szCs w:val="25"/>
              </w:rPr>
            </w:pPr>
            <w:r>
              <w:rPr>
                <w:rFonts w:ascii="Times" w:hAnsi="Times" w:cs="Times"/>
                <w:sz w:val="25"/>
                <w:szCs w:val="25"/>
              </w:rPr>
              <w:br/>
              <w:t>K čl. III. bodu 5 Transpozičný deficit bol odstránený. Vykonávacia smernica Komisie (EÚ) 2016/2109 z 1. decembra 2016, ktorou sa mení smernica Rady 66/401/EHS, pokiaľ ide o zahrnutie nových druhov a botanického názvu druhu Lolium × boucheanum Kunth bola náležite prebratá do vnútroštátneho poriadku a taktiež bola vykonaná notifikácia Európskej komisii.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rPr>
                <w:rFonts w:ascii="Times" w:hAnsi="Times" w:cs="Times"/>
                <w:sz w:val="25"/>
                <w:szCs w:val="25"/>
              </w:rPr>
            </w:pPr>
            <w:r>
              <w:rPr>
                <w:rFonts w:ascii="Times" w:hAnsi="Times" w:cs="Times"/>
                <w:sz w:val="25"/>
                <w:szCs w:val="25"/>
              </w:rPr>
              <w:t xml:space="preserve">Na základe doručeného notifikačného formuláru, bola 12.7.2017 k predmetnej smernici vykonaná notifikácia Nariadenia vlády Slovenskej republiky č. 109/2017 Z. z.., ktorým sa mení a dopĺňa nariadenie vlády Slovenskej republiky č. 52/2007 Z. z., ktorým sa ustanovujú požiadavky na uvádzanie osiva krmovín na trh v znení neskorších predpisov. Predmetná smernica bola týmto predpisom prebratá iba čiastočne. </w:t>
            </w:r>
          </w:p>
        </w:tc>
      </w:tr>
      <w:tr w:rsidR="00F85FDC">
        <w:trPr>
          <w:divId w:val="16351392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b/>
                <w:bCs/>
                <w:sz w:val="25"/>
                <w:szCs w:val="25"/>
              </w:rPr>
            </w:pPr>
            <w:r>
              <w:rPr>
                <w:rFonts w:ascii="Times" w:hAnsi="Times" w:cs="Times"/>
                <w:b/>
                <w:bCs/>
                <w:sz w:val="25"/>
                <w:szCs w:val="25"/>
              </w:rPr>
              <w:t>MPRVSR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rPr>
                <w:rFonts w:ascii="Times" w:hAnsi="Times" w:cs="Times"/>
                <w:sz w:val="25"/>
                <w:szCs w:val="25"/>
              </w:rPr>
            </w:pPr>
            <w:r>
              <w:rPr>
                <w:rFonts w:ascii="Times" w:hAnsi="Times" w:cs="Times"/>
                <w:sz w:val="25"/>
                <w:szCs w:val="25"/>
              </w:rPr>
              <w:br/>
              <w:t>K čl. III. bodu 5 Transpozičný deficit bol odstránený. Vykonávacia smernica Komisie (EÚ) 2016/2109 z 1. decembra 2016, ktorou sa mení smernica Rady 66/401/EHS, pokiaľ ide o zahrnutie nových druhov a botanického názvu druhu Lolium × boucheanum Kunth bola náležite prebratá do vnútroštátneho poriadku a taktiež bola vykonaná notifikácia Európskej komisii.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rPr>
                <w:rFonts w:ascii="Times" w:hAnsi="Times" w:cs="Times"/>
                <w:sz w:val="25"/>
                <w:szCs w:val="25"/>
              </w:rPr>
            </w:pPr>
            <w:r>
              <w:rPr>
                <w:rFonts w:ascii="Times" w:hAnsi="Times" w:cs="Times"/>
                <w:sz w:val="25"/>
                <w:szCs w:val="25"/>
              </w:rPr>
              <w:t xml:space="preserve">Na základe doručeného notifikačného formuláru, bola 12.7.2017 k predmetnej smernici vykonaná notifikácia Nariadenia vlády Slovenskej republiky č. 109/2017 Z. z.., ktorým sa mení a dopĺňa nariadenie vlády Slovenskej republiky č. 52/2007 Z. z., ktorým sa ustanovujú požiadavky na uvádzanie osiva krmovín na trh v znení neskorších predpisov. Predmetná smernica bola týmto predpisom prebratá iba čiastočne. </w:t>
            </w:r>
          </w:p>
        </w:tc>
      </w:tr>
      <w:tr w:rsidR="00F85FDC">
        <w:trPr>
          <w:divId w:val="16351392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b/>
                <w:bCs/>
                <w:sz w:val="25"/>
                <w:szCs w:val="25"/>
              </w:rPr>
            </w:pPr>
            <w:r>
              <w:rPr>
                <w:rFonts w:ascii="Times" w:hAnsi="Times" w:cs="Times"/>
                <w:b/>
                <w:bCs/>
                <w:sz w:val="25"/>
                <w:szCs w:val="25"/>
              </w:rPr>
              <w:t>MPSVRSR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sz w:val="25"/>
                <w:szCs w:val="25"/>
              </w:rPr>
            </w:pP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sz w:val="20"/>
                <w:szCs w:val="20"/>
              </w:rPr>
            </w:pPr>
          </w:p>
        </w:tc>
      </w:tr>
      <w:tr w:rsidR="00F85FDC">
        <w:trPr>
          <w:divId w:val="16351392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b/>
                <w:bCs/>
                <w:sz w:val="25"/>
                <w:szCs w:val="25"/>
              </w:rPr>
            </w:pPr>
            <w:r>
              <w:rPr>
                <w:rFonts w:ascii="Times" w:hAnsi="Times" w:cs="Times"/>
                <w:b/>
                <w:bCs/>
                <w:sz w:val="25"/>
                <w:szCs w:val="25"/>
              </w:rPr>
              <w:t>MSSR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rPr>
                <w:rFonts w:ascii="Times" w:hAnsi="Times" w:cs="Times"/>
                <w:sz w:val="25"/>
                <w:szCs w:val="25"/>
              </w:rPr>
            </w:pPr>
            <w:r>
              <w:rPr>
                <w:rFonts w:ascii="Times" w:hAnsi="Times" w:cs="Times"/>
                <w:sz w:val="25"/>
                <w:szCs w:val="25"/>
              </w:rPr>
              <w:br/>
              <w:t xml:space="preserve">K článku II. bodu 2 vlastného materiálu – k smernici Európskeho parlamentu a Rady 2014/41/EÚ z 3. apríla 2014 o európskom vyšetrovacom príkaze v trestných veciach. Notifikácia k príslušným právnym predpisom k uvedenej smernici, ktorá je v gescií Ministerstva spravodlivosti Slovenskej republiky už bola vykonaná.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rPr>
                <w:rFonts w:ascii="Times" w:hAnsi="Times" w:cs="Times"/>
                <w:sz w:val="25"/>
                <w:szCs w:val="25"/>
              </w:rPr>
            </w:pPr>
            <w:r>
              <w:rPr>
                <w:rFonts w:ascii="Times" w:hAnsi="Times" w:cs="Times"/>
                <w:sz w:val="25"/>
                <w:szCs w:val="25"/>
              </w:rPr>
              <w:t>Smernica bola vypustená z materiálu v zmysle pripomienky.</w:t>
            </w:r>
          </w:p>
        </w:tc>
      </w:tr>
      <w:tr w:rsidR="00F85FDC">
        <w:trPr>
          <w:divId w:val="16351392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b/>
                <w:bCs/>
                <w:sz w:val="25"/>
                <w:szCs w:val="25"/>
              </w:rPr>
            </w:pPr>
            <w:r>
              <w:rPr>
                <w:rFonts w:ascii="Times" w:hAnsi="Times" w:cs="Times"/>
                <w:b/>
                <w:bCs/>
                <w:sz w:val="25"/>
                <w:szCs w:val="25"/>
              </w:rPr>
              <w:t>MŠVVaŠSR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sz w:val="25"/>
                <w:szCs w:val="25"/>
              </w:rPr>
            </w:pP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sz w:val="20"/>
                <w:szCs w:val="20"/>
              </w:rPr>
            </w:pPr>
          </w:p>
        </w:tc>
      </w:tr>
      <w:tr w:rsidR="00F85FDC">
        <w:trPr>
          <w:divId w:val="16351392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b/>
                <w:bCs/>
                <w:sz w:val="25"/>
                <w:szCs w:val="25"/>
              </w:rPr>
            </w:pPr>
            <w:r>
              <w:rPr>
                <w:rFonts w:ascii="Times" w:hAnsi="Times" w:cs="Times"/>
                <w:b/>
                <w:bCs/>
                <w:sz w:val="25"/>
                <w:szCs w:val="25"/>
              </w:rPr>
              <w:t>MVSR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sz w:val="25"/>
                <w:szCs w:val="25"/>
              </w:rPr>
            </w:pP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sz w:val="20"/>
                <w:szCs w:val="20"/>
              </w:rPr>
            </w:pPr>
          </w:p>
        </w:tc>
      </w:tr>
      <w:tr w:rsidR="00F85FDC">
        <w:trPr>
          <w:divId w:val="16351392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b/>
                <w:bCs/>
                <w:sz w:val="25"/>
                <w:szCs w:val="25"/>
              </w:rPr>
            </w:pPr>
            <w:r>
              <w:rPr>
                <w:rFonts w:ascii="Times" w:hAnsi="Times" w:cs="Times"/>
                <w:b/>
                <w:bCs/>
                <w:sz w:val="25"/>
                <w:szCs w:val="25"/>
              </w:rPr>
              <w:t>MŽPSR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rPr>
                <w:rFonts w:ascii="Times" w:hAnsi="Times" w:cs="Times"/>
                <w:sz w:val="25"/>
                <w:szCs w:val="25"/>
              </w:rPr>
            </w:pPr>
            <w:r>
              <w:rPr>
                <w:rFonts w:ascii="Times" w:hAnsi="Times" w:cs="Times"/>
                <w:sz w:val="25"/>
                <w:szCs w:val="25"/>
              </w:rPr>
              <w:br/>
              <w:t>K III časti, bodu 1: Smernica Európskeho parlamentu a Rady (EÚ) 2015/2193 z 25. novembra 2015 o obmedzení emisií určitých znečisťujúcich látok do ovzdušia zo stredne veľkých spaľovacích zariadení navrhujeme pri notifikácii vypustiť písm. b.) a d.). Vypustenie navrhujeme z dôvodu, že nejde o transpozičné opatrenia uvedenej smernice.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rPr>
                <w:rFonts w:ascii="Times" w:hAnsi="Times" w:cs="Times"/>
                <w:sz w:val="25"/>
                <w:szCs w:val="25"/>
              </w:rPr>
            </w:pPr>
            <w:r>
              <w:rPr>
                <w:rFonts w:ascii="Times" w:hAnsi="Times" w:cs="Times"/>
                <w:sz w:val="25"/>
                <w:szCs w:val="25"/>
              </w:rPr>
              <w:t xml:space="preserve">Opatrenia pre transpozíciu smernice v časti notifikácia: b.) a d.) boli vypustené v zmysle pripomienky. </w:t>
            </w:r>
          </w:p>
        </w:tc>
      </w:tr>
      <w:tr w:rsidR="00F85FDC">
        <w:trPr>
          <w:divId w:val="16351392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b/>
                <w:bCs/>
                <w:sz w:val="25"/>
                <w:szCs w:val="25"/>
              </w:rPr>
            </w:pPr>
            <w:r>
              <w:rPr>
                <w:rFonts w:ascii="Times" w:hAnsi="Times" w:cs="Times"/>
                <w:b/>
                <w:bCs/>
                <w:sz w:val="25"/>
                <w:szCs w:val="25"/>
              </w:rPr>
              <w:t>NBS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sz w:val="25"/>
                <w:szCs w:val="25"/>
              </w:rPr>
            </w:pP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sz w:val="20"/>
                <w:szCs w:val="20"/>
              </w:rPr>
            </w:pPr>
          </w:p>
        </w:tc>
      </w:tr>
      <w:tr w:rsidR="00F85FDC">
        <w:trPr>
          <w:divId w:val="16351392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b/>
                <w:bCs/>
                <w:sz w:val="25"/>
                <w:szCs w:val="25"/>
              </w:rPr>
            </w:pPr>
            <w:r>
              <w:rPr>
                <w:rFonts w:ascii="Times" w:hAnsi="Times" w:cs="Times"/>
                <w:b/>
                <w:bCs/>
                <w:sz w:val="25"/>
                <w:szCs w:val="25"/>
              </w:rPr>
              <w:t>ÚGKKSR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sz w:val="25"/>
                <w:szCs w:val="25"/>
              </w:rPr>
            </w:pP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sz w:val="20"/>
                <w:szCs w:val="20"/>
              </w:rPr>
            </w:pPr>
          </w:p>
        </w:tc>
      </w:tr>
      <w:tr w:rsidR="00F85FDC">
        <w:trPr>
          <w:divId w:val="16351392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b/>
                <w:bCs/>
                <w:sz w:val="25"/>
                <w:szCs w:val="25"/>
              </w:rPr>
            </w:pPr>
            <w:r>
              <w:rPr>
                <w:rFonts w:ascii="Times" w:hAnsi="Times" w:cs="Times"/>
                <w:b/>
                <w:bCs/>
                <w:sz w:val="25"/>
                <w:szCs w:val="25"/>
              </w:rPr>
              <w:t>ÚPPVII</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sz w:val="25"/>
                <w:szCs w:val="25"/>
              </w:rPr>
            </w:pP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sz w:val="20"/>
                <w:szCs w:val="20"/>
              </w:rPr>
            </w:pPr>
          </w:p>
        </w:tc>
      </w:tr>
      <w:tr w:rsidR="00F85FDC">
        <w:trPr>
          <w:divId w:val="16351392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b/>
                <w:bCs/>
                <w:sz w:val="25"/>
                <w:szCs w:val="25"/>
              </w:rPr>
            </w:pPr>
            <w:r>
              <w:rPr>
                <w:rFonts w:ascii="Times" w:hAnsi="Times" w:cs="Times"/>
                <w:b/>
                <w:bCs/>
                <w:sz w:val="25"/>
                <w:szCs w:val="25"/>
              </w:rPr>
              <w:t>Verejnosť</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rFonts w:ascii="Times" w:hAnsi="Times" w:cs="Times"/>
                <w:sz w:val="25"/>
                <w:szCs w:val="25"/>
              </w:rPr>
            </w:pP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F85FDC" w:rsidRDefault="00F85FDC">
            <w:pPr>
              <w:jc w:val="center"/>
              <w:rPr>
                <w:sz w:val="20"/>
                <w:szCs w:val="20"/>
              </w:rPr>
            </w:pPr>
          </w:p>
        </w:tc>
      </w:tr>
    </w:tbl>
    <w:p w:rsidR="00154A91" w:rsidRPr="00154A91" w:rsidRDefault="00154A91" w:rsidP="00CE47A6"/>
    <w:p w:rsidR="00154A91" w:rsidRPr="00024402" w:rsidRDefault="00154A91" w:rsidP="00CE47A6"/>
    <w:sectPr w:rsidR="00154A91" w:rsidRPr="00024402" w:rsidSect="004075B2">
      <w:pgSz w:w="15840" w:h="12240" w:orient="landscape"/>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767E" w:rsidRDefault="00B8767E" w:rsidP="000A67D5">
      <w:pPr>
        <w:spacing w:after="0" w:line="240" w:lineRule="auto"/>
      </w:pPr>
      <w:r>
        <w:separator/>
      </w:r>
    </w:p>
  </w:endnote>
  <w:endnote w:type="continuationSeparator" w:id="0">
    <w:p w:rsidR="00B8767E" w:rsidRDefault="00B8767E" w:rsidP="000A67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EE"/>
    <w:family w:val="roman"/>
    <w:pitch w:val="variable"/>
    <w:sig w:usb0="E0002EFF" w:usb1="C0007843" w:usb2="00000009" w:usb3="00000000" w:csb0="000001FF" w:csb1="00000000"/>
  </w:font>
  <w:font w:name="Consolas">
    <w:panose1 w:val="020B0609020204030204"/>
    <w:charset w:val="EE"/>
    <w:family w:val="modern"/>
    <w:pitch w:val="fixed"/>
    <w:sig w:usb0="E10002FF" w:usb1="4000F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767E" w:rsidRDefault="00B8767E" w:rsidP="000A67D5">
      <w:pPr>
        <w:spacing w:after="0" w:line="240" w:lineRule="auto"/>
      </w:pPr>
      <w:r>
        <w:separator/>
      </w:r>
    </w:p>
  </w:footnote>
  <w:footnote w:type="continuationSeparator" w:id="0">
    <w:p w:rsidR="00B8767E" w:rsidRDefault="00B8767E" w:rsidP="000A67D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2"/>
  </w:compat>
  <w:rsids>
    <w:rsidRoot w:val="008E2844"/>
    <w:rsid w:val="000032C8"/>
    <w:rsid w:val="00024402"/>
    <w:rsid w:val="000324A3"/>
    <w:rsid w:val="0006543E"/>
    <w:rsid w:val="000A67D5"/>
    <w:rsid w:val="000E25CA"/>
    <w:rsid w:val="000F7A42"/>
    <w:rsid w:val="00146547"/>
    <w:rsid w:val="00146B48"/>
    <w:rsid w:val="00150388"/>
    <w:rsid w:val="00154A91"/>
    <w:rsid w:val="002109B0"/>
    <w:rsid w:val="0021228E"/>
    <w:rsid w:val="00230F3C"/>
    <w:rsid w:val="002654AA"/>
    <w:rsid w:val="002827B4"/>
    <w:rsid w:val="002A5577"/>
    <w:rsid w:val="002D7471"/>
    <w:rsid w:val="00310A55"/>
    <w:rsid w:val="00322014"/>
    <w:rsid w:val="0039526D"/>
    <w:rsid w:val="003B435B"/>
    <w:rsid w:val="003D101C"/>
    <w:rsid w:val="003D5E45"/>
    <w:rsid w:val="003E4226"/>
    <w:rsid w:val="004075B2"/>
    <w:rsid w:val="00436C44"/>
    <w:rsid w:val="00474A9D"/>
    <w:rsid w:val="00532574"/>
    <w:rsid w:val="0059081C"/>
    <w:rsid w:val="005E7C53"/>
    <w:rsid w:val="00642FB8"/>
    <w:rsid w:val="006A3681"/>
    <w:rsid w:val="007156F5"/>
    <w:rsid w:val="007A1010"/>
    <w:rsid w:val="007B7F1A"/>
    <w:rsid w:val="007D7AE6"/>
    <w:rsid w:val="007E4294"/>
    <w:rsid w:val="00841FA6"/>
    <w:rsid w:val="008A1964"/>
    <w:rsid w:val="008E2844"/>
    <w:rsid w:val="0090100E"/>
    <w:rsid w:val="009239D9"/>
    <w:rsid w:val="00927118"/>
    <w:rsid w:val="00943EB2"/>
    <w:rsid w:val="0099665B"/>
    <w:rsid w:val="009C6C5C"/>
    <w:rsid w:val="009F7218"/>
    <w:rsid w:val="00A251BF"/>
    <w:rsid w:val="00A54A16"/>
    <w:rsid w:val="00B721A5"/>
    <w:rsid w:val="00B76589"/>
    <w:rsid w:val="00B8767E"/>
    <w:rsid w:val="00BD1FAB"/>
    <w:rsid w:val="00BE7302"/>
    <w:rsid w:val="00BF7CE0"/>
    <w:rsid w:val="00CA44D2"/>
    <w:rsid w:val="00CE47A6"/>
    <w:rsid w:val="00CF3D59"/>
    <w:rsid w:val="00D261C9"/>
    <w:rsid w:val="00D85172"/>
    <w:rsid w:val="00D969AC"/>
    <w:rsid w:val="00DF7085"/>
    <w:rsid w:val="00E85710"/>
    <w:rsid w:val="00EB772A"/>
    <w:rsid w:val="00EF1425"/>
    <w:rsid w:val="00F26A4A"/>
    <w:rsid w:val="00F727F0"/>
    <w:rsid w:val="00F8562E"/>
    <w:rsid w:val="00F85F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532574"/>
    <w:rPr>
      <w:lang w:val="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3D5E45"/>
    <w:rPr>
      <w:color w:val="808080"/>
    </w:rPr>
  </w:style>
  <w:style w:type="paragraph" w:styleId="Textbubliny">
    <w:name w:val="Balloon Text"/>
    <w:basedOn w:val="Normlny"/>
    <w:link w:val="TextbublinyChar"/>
    <w:uiPriority w:val="99"/>
    <w:semiHidden/>
    <w:unhideWhenUsed/>
    <w:rsid w:val="003D5E4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3D5E45"/>
    <w:rPr>
      <w:rFonts w:ascii="Tahoma" w:hAnsi="Tahoma" w:cs="Tahoma"/>
      <w:sz w:val="16"/>
      <w:szCs w:val="16"/>
    </w:rPr>
  </w:style>
  <w:style w:type="paragraph" w:styleId="Hlavika">
    <w:name w:val="header"/>
    <w:basedOn w:val="Normlny"/>
    <w:link w:val="HlavikaChar"/>
    <w:uiPriority w:val="99"/>
    <w:unhideWhenUsed/>
    <w:rsid w:val="000A67D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A67D5"/>
  </w:style>
  <w:style w:type="paragraph" w:styleId="Pta">
    <w:name w:val="footer"/>
    <w:basedOn w:val="Normlny"/>
    <w:link w:val="PtaChar"/>
    <w:uiPriority w:val="99"/>
    <w:unhideWhenUsed/>
    <w:rsid w:val="000A67D5"/>
    <w:pPr>
      <w:tabs>
        <w:tab w:val="center" w:pos="4536"/>
        <w:tab w:val="right" w:pos="9072"/>
      </w:tabs>
      <w:spacing w:after="0" w:line="240" w:lineRule="auto"/>
    </w:pPr>
  </w:style>
  <w:style w:type="character" w:customStyle="1" w:styleId="PtaChar">
    <w:name w:val="Päta Char"/>
    <w:basedOn w:val="Predvolenpsmoodseku"/>
    <w:link w:val="Pta"/>
    <w:uiPriority w:val="99"/>
    <w:rsid w:val="000A67D5"/>
  </w:style>
  <w:style w:type="character" w:styleId="Odkaznakomentr">
    <w:name w:val="annotation reference"/>
    <w:basedOn w:val="Predvolenpsmoodseku"/>
    <w:uiPriority w:val="99"/>
    <w:semiHidden/>
    <w:unhideWhenUsed/>
    <w:rsid w:val="00927118"/>
    <w:rPr>
      <w:sz w:val="16"/>
      <w:szCs w:val="16"/>
    </w:rPr>
  </w:style>
  <w:style w:type="paragraph" w:styleId="Textkomentra">
    <w:name w:val="annotation text"/>
    <w:basedOn w:val="Normlny"/>
    <w:link w:val="TextkomentraChar"/>
    <w:uiPriority w:val="99"/>
    <w:semiHidden/>
    <w:unhideWhenUsed/>
    <w:rsid w:val="00927118"/>
    <w:pPr>
      <w:widowControl w:val="0"/>
      <w:adjustRightInd w:val="0"/>
      <w:spacing w:line="240" w:lineRule="auto"/>
    </w:pPr>
    <w:rPr>
      <w:rFonts w:ascii="Calibri" w:eastAsia="Times New Roman" w:hAnsi="Calibri" w:cs="Times New Roman"/>
      <w:sz w:val="20"/>
      <w:szCs w:val="20"/>
    </w:rPr>
  </w:style>
  <w:style w:type="character" w:customStyle="1" w:styleId="TextkomentraChar">
    <w:name w:val="Text komentára Char"/>
    <w:basedOn w:val="Predvolenpsmoodseku"/>
    <w:link w:val="Textkomentra"/>
    <w:uiPriority w:val="99"/>
    <w:semiHidden/>
    <w:rsid w:val="00927118"/>
    <w:rPr>
      <w:rFonts w:ascii="Calibri" w:eastAsia="Times New Roman" w:hAnsi="Calibri" w:cs="Times New Roman"/>
      <w:sz w:val="20"/>
      <w:szCs w:val="20"/>
    </w:rPr>
  </w:style>
  <w:style w:type="paragraph" w:styleId="Zkladntext">
    <w:name w:val="Body Text"/>
    <w:basedOn w:val="Normlny"/>
    <w:link w:val="ZkladntextChar"/>
    <w:uiPriority w:val="99"/>
    <w:semiHidden/>
    <w:rsid w:val="00BF7CE0"/>
    <w:pPr>
      <w:widowControl w:val="0"/>
      <w:adjustRightInd w:val="0"/>
      <w:spacing w:after="0" w:line="240" w:lineRule="auto"/>
      <w:jc w:val="center"/>
    </w:pPr>
    <w:rPr>
      <w:rFonts w:ascii="Times New Roman" w:eastAsia="Times New Roman" w:hAnsi="Times New Roman" w:cs="Times New Roman"/>
      <w:b/>
      <w:bCs/>
      <w:sz w:val="28"/>
      <w:szCs w:val="28"/>
      <w:lang w:eastAsia="sk-SK"/>
    </w:rPr>
  </w:style>
  <w:style w:type="character" w:customStyle="1" w:styleId="ZkladntextChar">
    <w:name w:val="Základný text Char"/>
    <w:basedOn w:val="Predvolenpsmoodseku"/>
    <w:link w:val="Zkladntext"/>
    <w:uiPriority w:val="99"/>
    <w:semiHidden/>
    <w:rsid w:val="00BF7CE0"/>
    <w:rPr>
      <w:rFonts w:ascii="Times New Roman" w:eastAsia="Times New Roman" w:hAnsi="Times New Roman" w:cs="Times New Roman"/>
      <w:b/>
      <w:bCs/>
      <w:sz w:val="28"/>
      <w:szCs w:val="28"/>
      <w:lang w:val="sk-SK"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17969">
      <w:bodyDiv w:val="1"/>
      <w:marLeft w:val="0"/>
      <w:marRight w:val="0"/>
      <w:marTop w:val="0"/>
      <w:marBottom w:val="0"/>
      <w:divBdr>
        <w:top w:val="none" w:sz="0" w:space="0" w:color="auto"/>
        <w:left w:val="none" w:sz="0" w:space="0" w:color="auto"/>
        <w:bottom w:val="none" w:sz="0" w:space="0" w:color="auto"/>
        <w:right w:val="none" w:sz="0" w:space="0" w:color="auto"/>
      </w:divBdr>
    </w:div>
    <w:div w:id="127941160">
      <w:bodyDiv w:val="1"/>
      <w:marLeft w:val="0"/>
      <w:marRight w:val="0"/>
      <w:marTop w:val="0"/>
      <w:marBottom w:val="0"/>
      <w:divBdr>
        <w:top w:val="none" w:sz="0" w:space="0" w:color="auto"/>
        <w:left w:val="none" w:sz="0" w:space="0" w:color="auto"/>
        <w:bottom w:val="none" w:sz="0" w:space="0" w:color="auto"/>
        <w:right w:val="none" w:sz="0" w:space="0" w:color="auto"/>
      </w:divBdr>
    </w:div>
    <w:div w:id="132328838">
      <w:bodyDiv w:val="1"/>
      <w:marLeft w:val="0"/>
      <w:marRight w:val="0"/>
      <w:marTop w:val="0"/>
      <w:marBottom w:val="0"/>
      <w:divBdr>
        <w:top w:val="none" w:sz="0" w:space="0" w:color="auto"/>
        <w:left w:val="none" w:sz="0" w:space="0" w:color="auto"/>
        <w:bottom w:val="none" w:sz="0" w:space="0" w:color="auto"/>
        <w:right w:val="none" w:sz="0" w:space="0" w:color="auto"/>
      </w:divBdr>
    </w:div>
    <w:div w:id="163513928">
      <w:bodyDiv w:val="1"/>
      <w:marLeft w:val="0"/>
      <w:marRight w:val="0"/>
      <w:marTop w:val="0"/>
      <w:marBottom w:val="0"/>
      <w:divBdr>
        <w:top w:val="none" w:sz="0" w:space="0" w:color="auto"/>
        <w:left w:val="none" w:sz="0" w:space="0" w:color="auto"/>
        <w:bottom w:val="none" w:sz="0" w:space="0" w:color="auto"/>
        <w:right w:val="none" w:sz="0" w:space="0" w:color="auto"/>
      </w:divBdr>
    </w:div>
    <w:div w:id="656229321">
      <w:bodyDiv w:val="1"/>
      <w:marLeft w:val="0"/>
      <w:marRight w:val="0"/>
      <w:marTop w:val="0"/>
      <w:marBottom w:val="0"/>
      <w:divBdr>
        <w:top w:val="none" w:sz="0" w:space="0" w:color="auto"/>
        <w:left w:val="none" w:sz="0" w:space="0" w:color="auto"/>
        <w:bottom w:val="none" w:sz="0" w:space="0" w:color="auto"/>
        <w:right w:val="none" w:sz="0" w:space="0" w:color="auto"/>
      </w:divBdr>
    </w:div>
    <w:div w:id="736829233">
      <w:bodyDiv w:val="1"/>
      <w:marLeft w:val="0"/>
      <w:marRight w:val="0"/>
      <w:marTop w:val="0"/>
      <w:marBottom w:val="0"/>
      <w:divBdr>
        <w:top w:val="none" w:sz="0" w:space="0" w:color="auto"/>
        <w:left w:val="none" w:sz="0" w:space="0" w:color="auto"/>
        <w:bottom w:val="none" w:sz="0" w:space="0" w:color="auto"/>
        <w:right w:val="none" w:sz="0" w:space="0" w:color="auto"/>
      </w:divBdr>
    </w:div>
    <w:div w:id="915168090">
      <w:bodyDiv w:val="1"/>
      <w:marLeft w:val="0"/>
      <w:marRight w:val="0"/>
      <w:marTop w:val="0"/>
      <w:marBottom w:val="0"/>
      <w:divBdr>
        <w:top w:val="none" w:sz="0" w:space="0" w:color="auto"/>
        <w:left w:val="none" w:sz="0" w:space="0" w:color="auto"/>
        <w:bottom w:val="none" w:sz="0" w:space="0" w:color="auto"/>
        <w:right w:val="none" w:sz="0" w:space="0" w:color="auto"/>
      </w:divBdr>
    </w:div>
    <w:div w:id="1575509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12" Type="http://schemas.openxmlformats.org/officeDocument/2006/relationships/customXml" Target="../customXml/item5.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4.xml"/><Relationship Id="rId5" Type="http://schemas.openxmlformats.org/officeDocument/2006/relationships/footnotes" Target="footnotes.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f:fields xmlns:f="http://schemas.fabasoft.com/folio/2007/fields">
  <f:record ref="">
    <f:field ref="objname" par="" edit="true" text="Vyhodnotenie medzirezortného pripomienkového konania"/>
    <f:field ref="objsubject" par="" edit="true" text="Vyhodnotenie medzirezortného pripomienkového konania"/>
    <f:field ref="objcreatedby" par="" text="Administrator, System"/>
    <f:field ref="objcreatedat" par="" text="10.11.2017 10:28:11"/>
    <f:field ref="objchangedby" par="" text="Administrator, System"/>
    <f:field ref="objmodifiedat" par="" text="10.11.2017 10:28:14"/>
    <f:field ref="doc_FSCFOLIO_1_1001_FieldDocumentNumber" par="" text=""/>
    <f:field ref="doc_FSCFOLIO_1_1001_FieldSubject" par="" edit="true" text="Vyhodnotenie medzirezortného pripomienkového konania"/>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https://ovdmasv601/sites/DMS/_layouts/15/DocIdRedir.aspx?ID=WKX3UHSAJ2R6-2-809434</Url>
      <Description>WKX3UHSAJ2R6-2-809434</Description>
    </_dlc_DocIdUrl>
    <_dlc_DocId xmlns="e60a29af-d413-48d4-bd90-fe9d2a897e4b">WKX3UHSAJ2R6-2-809434</_dlc_DocId>
  </documentManagement>
</p:properties>
</file>

<file path=customXml/itemProps1.xml><?xml version="1.0" encoding="utf-8"?>
<ds:datastoreItem xmlns:ds="http://schemas.openxmlformats.org/officeDocument/2006/customXml" ds:itemID="{4E8A9591-F074-446B-902F-511FF79C122F}"/>
</file>

<file path=customXml/itemProps2.xml><?xml version="1.0" encoding="utf-8"?>
<ds:datastoreItem xmlns:ds="http://schemas.openxmlformats.org/officeDocument/2006/customXml" ds:itemID="{3ACE2717-FADE-4FCE-8712-F75452A79EAB}"/>
</file>

<file path=customXml/itemProps3.xml><?xml version="1.0" encoding="utf-8"?>
<ds:datastoreItem xmlns:ds="http://schemas.openxmlformats.org/officeDocument/2006/customXml" ds:itemID="{08E1AC39-1941-4FE6-BAE8-B426745EBAD1}"/>
</file>

<file path=customXml/itemProps4.xml><?xml version="1.0" encoding="utf-8"?>
<ds:datastoreItem xmlns:ds="http://schemas.openxmlformats.org/officeDocument/2006/customXml" ds:itemID="{00F05CF1-EC37-47B5-B5D4-4DA35835BAAA}"/>
</file>

<file path=customXml/itemProps5.xml><?xml version="1.0" encoding="utf-8"?>
<ds:datastoreItem xmlns:ds="http://schemas.openxmlformats.org/officeDocument/2006/customXml" ds:itemID="{44413BB3-54D3-4279-8114-B42E40FDC951}"/>
</file>

<file path=docProps/app.xml><?xml version="1.0" encoding="utf-8"?>
<Properties xmlns="http://schemas.openxmlformats.org/officeDocument/2006/extended-properties" xmlns:vt="http://schemas.openxmlformats.org/officeDocument/2006/docPropsVTypes">
  <Template>Normal.dotm</Template>
  <TotalTime>0</TotalTime>
  <Pages>1</Pages>
  <Words>1658</Words>
  <Characters>9453</Characters>
  <Application>Microsoft Office Word</Application>
  <DocSecurity>4</DocSecurity>
  <Lines>78</Lines>
  <Paragraphs>22</Paragraphs>
  <ScaleCrop>false</ScaleCrop>
  <Company/>
  <LinksUpToDate>false</LinksUpToDate>
  <CharactersWithSpaces>11089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2017-11-10T09:28:00Z</dcterms:created>
  <dcterms:modified xsi:type="dcterms:W3CDTF">2017-11-10T09:28:00Z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Nelegislatívny všeobecný materiál</vt:lpwstr>
  </property>
  <property fmtid="{D5CDD505-2E9C-101B-9397-08002B2CF9AE}" pid="4" name="FSC#SKEDITIONSLOVLEX@103.510:cisloparlamenttlac">
    <vt:lpwstr/>
  </property>
  <property fmtid="{D5CDD505-2E9C-101B-9397-08002B2CF9AE}" pid="5" name="FSC#SKEDITIONSLOVLEX@103.510:stavpredpis">
    <vt:lpwstr>Rokovanie vlády SR</vt:lpwstr>
  </property>
  <property fmtid="{D5CDD505-2E9C-101B-9397-08002B2CF9AE}" pid="6" name="FSC#SKEDITIONSLOVLEX@103.510:povodpredpis">
    <vt:lpwstr>Slovlex (eLeg)</vt:lpwstr>
  </property>
  <property fmtid="{D5CDD505-2E9C-101B-9397-08002B2CF9AE}" pid="7" name="FSC#SKEDITIONSLOVLEX@103.510:legoblast">
    <vt:lpwstr>Nelegislatívna oblasť</vt:lpwstr>
  </property>
  <property fmtid="{D5CDD505-2E9C-101B-9397-08002B2CF9AE}" pid="8" name="FSC#SKEDITIONSLOVLEX@103.510:uzemplat">
    <vt:lpwstr/>
  </property>
  <property fmtid="{D5CDD505-2E9C-101B-9397-08002B2CF9AE}" pid="9" name="FSC#SKEDITIONSLOVLEX@103.510:vztahypredpis">
    <vt:lpwstr/>
  </property>
  <property fmtid="{D5CDD505-2E9C-101B-9397-08002B2CF9AE}" pid="10" name="FSC#SKEDITIONSLOVLEX@103.510:predkladatel">
    <vt:lpwstr>Mgr. Anna Marková</vt:lpwstr>
  </property>
  <property fmtid="{D5CDD505-2E9C-101B-9397-08002B2CF9AE}" pid="11" name="FSC#SKEDITIONSLOVLEX@103.510:zodppredkladatel">
    <vt:lpwstr>Ing. Igor Federič</vt:lpwstr>
  </property>
  <property fmtid="{D5CDD505-2E9C-101B-9397-08002B2CF9AE}" pid="12" name="FSC#SKEDITIONSLOVLEX@103.510:dalsipredkladatel">
    <vt:lpwstr/>
  </property>
  <property fmtid="{D5CDD505-2E9C-101B-9397-08002B2CF9AE}" pid="13" name="FSC#SKEDITIONSLOVLEX@103.510:nazovpredpis">
    <vt:lpwstr> Informácia o transpozičnom deficite a harmonograme jeho odstránenia </vt:lpwstr>
  </property>
  <property fmtid="{D5CDD505-2E9C-101B-9397-08002B2CF9AE}" pid="14" name="FSC#SKEDITIONSLOVLEX@103.510:nazovpredpis1">
    <vt:lpwstr/>
  </property>
  <property fmtid="{D5CDD505-2E9C-101B-9397-08002B2CF9AE}" pid="15" name="FSC#SKEDITIONSLOVLEX@103.510:nazovpredpis2">
    <vt:lpwstr/>
  </property>
  <property fmtid="{D5CDD505-2E9C-101B-9397-08002B2CF9AE}" pid="16" name="FSC#SKEDITIONSLOVLEX@103.510:nazovpredpis3">
    <vt:lpwstr/>
  </property>
  <property fmtid="{D5CDD505-2E9C-101B-9397-08002B2CF9AE}" pid="17" name="FSC#SKEDITIONSLOVLEX@103.510:cislopredpis">
    <vt:lpwstr/>
  </property>
  <property fmtid="{D5CDD505-2E9C-101B-9397-08002B2CF9AE}" pid="18" name="FSC#SKEDITIONSLOVLEX@103.510:zodpinstitucia">
    <vt:lpwstr>Úrad vlády Slovenskej republiky</vt:lpwstr>
  </property>
  <property fmtid="{D5CDD505-2E9C-101B-9397-08002B2CF9AE}" pid="19" name="FSC#SKEDITIONSLOVLEX@103.510:pripomienkovatelia">
    <vt:lpwstr/>
  </property>
  <property fmtid="{D5CDD505-2E9C-101B-9397-08002B2CF9AE}" pid="20" name="FSC#SKEDITIONSLOVLEX@103.510:autorpredpis">
    <vt:lpwstr/>
  </property>
  <property fmtid="{D5CDD505-2E9C-101B-9397-08002B2CF9AE}" pid="21" name="FSC#SKEDITIONSLOVLEX@103.510:podnetpredpis">
    <vt:lpwstr>Bod B.2. uznesenia vlády SR č. 225 z 30. marca 2011 v znení bodu C.1. uznesenia vlády SR č. 73 z 24. februára 2016</vt:lpwstr>
  </property>
  <property fmtid="{D5CDD505-2E9C-101B-9397-08002B2CF9AE}" pid="22" name="FSC#SKEDITIONSLOVLEX@103.510:plnynazovpredpis">
    <vt:lpwstr> Informácia o transpozičnom deficite a harmonograme jeho odstránenia </vt:lpwstr>
  </property>
  <property fmtid="{D5CDD505-2E9C-101B-9397-08002B2CF9AE}" pid="23" name="FSC#SKEDITIONSLOVLEX@103.510:plnynazovpredpis1">
    <vt:lpwstr/>
  </property>
  <property fmtid="{D5CDD505-2E9C-101B-9397-08002B2CF9AE}" pid="24" name="FSC#SKEDITIONSLOVLEX@103.510:plnynazovpredpis2">
    <vt:lpwstr/>
  </property>
  <property fmtid="{D5CDD505-2E9C-101B-9397-08002B2CF9AE}" pid="25" name="FSC#SKEDITIONSLOVLEX@103.510:plnynazovpredpis3">
    <vt:lpwstr/>
  </property>
  <property fmtid="{D5CDD505-2E9C-101B-9397-08002B2CF9AE}" pid="26" name="FSC#SKEDITIONSLOVLEX@103.510:rezortcislopredpis">
    <vt:lpwstr>2859-6/2017/SVLOAP</vt:lpwstr>
  </property>
  <property fmtid="{D5CDD505-2E9C-101B-9397-08002B2CF9AE}" pid="27" name="FSC#SKEDITIONSLOVLEX@103.510:citaciapredpis">
    <vt:lpwstr/>
  </property>
  <property fmtid="{D5CDD505-2E9C-101B-9397-08002B2CF9AE}" pid="28" name="FSC#SKEDITIONSLOVLEX@103.510:spiscislouv">
    <vt:lpwstr/>
  </property>
  <property fmtid="{D5CDD505-2E9C-101B-9397-08002B2CF9AE}" pid="29" name="FSC#SKEDITIONSLOVLEX@103.510:datumschvalpredpis">
    <vt:lpwstr/>
  </property>
  <property fmtid="{D5CDD505-2E9C-101B-9397-08002B2CF9AE}" pid="30" name="FSC#SKEDITIONSLOVLEX@103.510:platneod">
    <vt:lpwstr/>
  </property>
  <property fmtid="{D5CDD505-2E9C-101B-9397-08002B2CF9AE}" pid="31" name="FSC#SKEDITIONSLOVLEX@103.510:platnedo">
    <vt:lpwstr/>
  </property>
  <property fmtid="{D5CDD505-2E9C-101B-9397-08002B2CF9AE}" pid="32" name="FSC#SKEDITIONSLOVLEX@103.510:ucinnostod">
    <vt:lpwstr/>
  </property>
  <property fmtid="{D5CDD505-2E9C-101B-9397-08002B2CF9AE}" pid="33" name="FSC#SKEDITIONSLOVLEX@103.510:ucinnostdo">
    <vt:lpwstr/>
  </property>
  <property fmtid="{D5CDD505-2E9C-101B-9397-08002B2CF9AE}" pid="34" name="FSC#SKEDITIONSLOVLEX@103.510:datumplatnosti">
    <vt:lpwstr/>
  </property>
  <property fmtid="{D5CDD505-2E9C-101B-9397-08002B2CF9AE}" pid="35" name="FSC#SKEDITIONSLOVLEX@103.510:cislolp">
    <vt:lpwstr>LP/2017/755</vt:lpwstr>
  </property>
  <property fmtid="{D5CDD505-2E9C-101B-9397-08002B2CF9AE}" pid="36" name="FSC#SKEDITIONSLOVLEX@103.510:typsprievdok">
    <vt:lpwstr>Vyhodnotenie medzirezortného pripomienkového konania</vt:lpwstr>
  </property>
  <property fmtid="{D5CDD505-2E9C-101B-9397-08002B2CF9AE}" pid="37" name="FSC#SKEDITIONSLOVLEX@103.510:cislopartlac">
    <vt:lpwstr/>
  </property>
  <property fmtid="{D5CDD505-2E9C-101B-9397-08002B2CF9AE}" pid="38" name="FSC#SKEDITIONSLOVLEX@103.510:AttrStrListDocPropUcelPredmetZmluvy">
    <vt:lpwstr/>
  </property>
  <property fmtid="{D5CDD505-2E9C-101B-9397-08002B2CF9AE}" pid="39" name="FSC#SKEDITIONSLOVLEX@103.510:AttrStrListDocPropUpravaPravFOPRO">
    <vt:lpwstr/>
  </property>
  <property fmtid="{D5CDD505-2E9C-101B-9397-08002B2CF9AE}" pid="40" name="FSC#SKEDITIONSLOVLEX@103.510:AttrStrListDocPropUpravaPredmetuZmluvy">
    <vt:lpwstr/>
  </property>
  <property fmtid="{D5CDD505-2E9C-101B-9397-08002B2CF9AE}" pid="41" name="FSC#SKEDITIONSLOVLEX@103.510:AttrStrListDocPropKategoriaZmluvy74">
    <vt:lpwstr/>
  </property>
  <property fmtid="{D5CDD505-2E9C-101B-9397-08002B2CF9AE}" pid="42" name="FSC#SKEDITIONSLOVLEX@103.510:AttrStrListDocPropKategoriaZmluvy75">
    <vt:lpwstr/>
  </property>
  <property fmtid="{D5CDD505-2E9C-101B-9397-08002B2CF9AE}" pid="43" name="FSC#SKEDITIONSLOVLEX@103.510:AttrStrListDocPropDopadyPrijatiaZmluvy">
    <vt:lpwstr/>
  </property>
  <property fmtid="{D5CDD505-2E9C-101B-9397-08002B2CF9AE}" pid="44" name="FSC#SKEDITIONSLOVLEX@103.510:AttrStrListDocPropProblematikaPPa">
    <vt:lpwstr/>
  </property>
  <property fmtid="{D5CDD505-2E9C-101B-9397-08002B2CF9AE}" pid="45" name="FSC#SKEDITIONSLOVLEX@103.510:AttrStrListDocPropPrimarnePravoEU">
    <vt:lpwstr/>
  </property>
  <property fmtid="{D5CDD505-2E9C-101B-9397-08002B2CF9AE}" pid="46" name="FSC#SKEDITIONSLOVLEX@103.510:AttrStrListDocPropSekundarneLegPravoPO">
    <vt:lpwstr/>
  </property>
  <property fmtid="{D5CDD505-2E9C-101B-9397-08002B2CF9AE}" pid="47" name="FSC#SKEDITIONSLOVLEX@103.510:AttrStrListDocPropSekundarneNelegPravoPO">
    <vt:lpwstr/>
  </property>
  <property fmtid="{D5CDD505-2E9C-101B-9397-08002B2CF9AE}" pid="48" name="FSC#SKEDITIONSLOVLEX@103.510:AttrStrListDocPropSekundarneLegPravoDO">
    <vt:lpwstr/>
  </property>
  <property fmtid="{D5CDD505-2E9C-101B-9397-08002B2CF9AE}" pid="49" name="FSC#SKEDITIONSLOVLEX@103.510:AttrStrListDocPropProblematikaPPb">
    <vt:lpwstr/>
  </property>
  <property fmtid="{D5CDD505-2E9C-101B-9397-08002B2CF9AE}" pid="50" name="FSC#SKEDITIONSLOVLEX@103.510:AttrStrListDocPropNazovPredpisuEU">
    <vt:lpwstr/>
  </property>
  <property fmtid="{D5CDD505-2E9C-101B-9397-08002B2CF9AE}" pid="51" name="FSC#SKEDITIONSLOVLEX@103.510:AttrStrListDocPropLehotaPrebratieSmernice">
    <vt:lpwstr/>
  </property>
  <property fmtid="{D5CDD505-2E9C-101B-9397-08002B2CF9AE}" pid="52" name="FSC#SKEDITIONSLOVLEX@103.510:AttrStrListDocPropLehotaNaPredlozenie">
    <vt:lpwstr/>
  </property>
  <property fmtid="{D5CDD505-2E9C-101B-9397-08002B2CF9AE}" pid="53" name="FSC#SKEDITIONSLOVLEX@103.510:AttrStrListDocPropInfoZaciatokKonania">
    <vt:lpwstr/>
  </property>
  <property fmtid="{D5CDD505-2E9C-101B-9397-08002B2CF9AE}" pid="54" name="FSC#SKEDITIONSLOVLEX@103.510:AttrStrListDocPropInfoUzPreberanePP">
    <vt:lpwstr/>
  </property>
  <property fmtid="{D5CDD505-2E9C-101B-9397-08002B2CF9AE}" pid="55" name="FSC#SKEDITIONSLOVLEX@103.510:AttrStrListDocPropStupenZlucitelnostiPP">
    <vt:lpwstr/>
  </property>
  <property fmtid="{D5CDD505-2E9C-101B-9397-08002B2CF9AE}" pid="56" name="FSC#SKEDITIONSLOVLEX@103.510:AttrStrListDocPropGestorSpolupRezorty">
    <vt:lpwstr/>
  </property>
  <property fmtid="{D5CDD505-2E9C-101B-9397-08002B2CF9AE}" pid="57" name="FSC#SKEDITIONSLOVLEX@103.510:AttrDateDocPropZaciatokPKK">
    <vt:lpwstr/>
  </property>
  <property fmtid="{D5CDD505-2E9C-101B-9397-08002B2CF9AE}" pid="58" name="FSC#SKEDITIONSLOVLEX@103.510:AttrDateDocPropUkonceniePKK">
    <vt:lpwstr/>
  </property>
  <property fmtid="{D5CDD505-2E9C-101B-9397-08002B2CF9AE}" pid="59" name="FSC#SKEDITIONSLOVLEX@103.510:AttrStrDocPropVplyvRozpocetVS">
    <vt:lpwstr>Žiadne</vt:lpwstr>
  </property>
  <property fmtid="{D5CDD505-2E9C-101B-9397-08002B2CF9AE}" pid="60" name="FSC#SKEDITIONSLOVLEX@103.510:AttrStrDocPropVplyvPodnikatelskeProstr">
    <vt:lpwstr>Žiadne</vt:lpwstr>
  </property>
  <property fmtid="{D5CDD505-2E9C-101B-9397-08002B2CF9AE}" pid="61" name="FSC#SKEDITIONSLOVLEX@103.510:AttrStrDocPropVplyvSocialny">
    <vt:lpwstr>Žiadne</vt:lpwstr>
  </property>
  <property fmtid="{D5CDD505-2E9C-101B-9397-08002B2CF9AE}" pid="62" name="FSC#SKEDITIONSLOVLEX@103.510:AttrStrDocPropVplyvNaZivotProstr">
    <vt:lpwstr>Žiadne</vt:lpwstr>
  </property>
  <property fmtid="{D5CDD505-2E9C-101B-9397-08002B2CF9AE}" pid="63" name="FSC#SKEDITIONSLOVLEX@103.510:AttrStrDocPropVplyvNaInformatizaciu">
    <vt:lpwstr>Žiadne</vt:lpwstr>
  </property>
  <property fmtid="{D5CDD505-2E9C-101B-9397-08002B2CF9AE}" pid="64" name="FSC#SKEDITIONSLOVLEX@103.510:AttrStrListDocPropPoznamkaVplyv">
    <vt:lpwstr/>
  </property>
  <property fmtid="{D5CDD505-2E9C-101B-9397-08002B2CF9AE}" pid="65" name="FSC#SKEDITIONSLOVLEX@103.510:AttrStrListDocPropAltRiesenia">
    <vt:lpwstr/>
  </property>
  <property fmtid="{D5CDD505-2E9C-101B-9397-08002B2CF9AE}" pid="66" name="FSC#SKEDITIONSLOVLEX@103.510:AttrStrListDocPropStanoviskoGest">
    <vt:lpwstr>Predbežné pripomienkové konanie sa neuskutočnilo, keďže materiál nemá vplyv na žiadnu z posudzovaných oblastí.</vt:lpwstr>
  </property>
  <property fmtid="{D5CDD505-2E9C-101B-9397-08002B2CF9AE}" pid="67" name="FSC#SKEDITIONSLOVLEX@103.510:AttrStrListDocPropTextKomunike">
    <vt:lpwstr>Vláda Slovenskej republiky na svojom rokovaní dňa ....................... prerokovala a vzala na vedomie materiál Informácia o transpozičnom deficite a harmonograme jeho odstránenia.</vt:lpwstr>
  </property>
  <property fmtid="{D5CDD505-2E9C-101B-9397-08002B2CF9AE}" pid="68" name="FSC#SKEDITIONSLOVLEX@103.510:AttrStrListDocPropUznesenieCastA">
    <vt:lpwstr/>
  </property>
  <property fmtid="{D5CDD505-2E9C-101B-9397-08002B2CF9AE}" pid="69" name="FSC#SKEDITIONSLOVLEX@103.510:AttrStrListDocPropUznesenieZodpovednyA1">
    <vt:lpwstr/>
  </property>
  <property fmtid="{D5CDD505-2E9C-101B-9397-08002B2CF9AE}" pid="70" name="FSC#SKEDITIONSLOVLEX@103.510:AttrStrListDocPropUznesenieTextA1">
    <vt:lpwstr/>
  </property>
  <property fmtid="{D5CDD505-2E9C-101B-9397-08002B2CF9AE}" pid="71" name="FSC#SKEDITIONSLOVLEX@103.510:AttrStrListDocPropUznesenieTerminA1">
    <vt:lpwstr/>
  </property>
  <property fmtid="{D5CDD505-2E9C-101B-9397-08002B2CF9AE}" pid="72" name="FSC#SKEDITIONSLOVLEX@103.510:AttrStrListDocPropUznesenieBODA1">
    <vt:lpwstr/>
  </property>
  <property fmtid="{D5CDD505-2E9C-101B-9397-08002B2CF9AE}" pid="73" name="FSC#SKEDITIONSLOVLEX@103.510:AttrStrListDocPropUznesenieZodpovednyA2">
    <vt:lpwstr/>
  </property>
  <property fmtid="{D5CDD505-2E9C-101B-9397-08002B2CF9AE}" pid="74" name="FSC#SKEDITIONSLOVLEX@103.510:AttrStrListDocPropUznesenieTextA2">
    <vt:lpwstr/>
  </property>
  <property fmtid="{D5CDD505-2E9C-101B-9397-08002B2CF9AE}" pid="75" name="FSC#SKEDITIONSLOVLEX@103.510:AttrStrListDocPropUznesenieTerminA2">
    <vt:lpwstr/>
  </property>
  <property fmtid="{D5CDD505-2E9C-101B-9397-08002B2CF9AE}" pid="76" name="FSC#SKEDITIONSLOVLEX@103.510:AttrStrListDocPropUznesenieBODA3">
    <vt:lpwstr/>
  </property>
  <property fmtid="{D5CDD505-2E9C-101B-9397-08002B2CF9AE}" pid="77" name="FSC#SKEDITIONSLOVLEX@103.510:AttrStrListDocPropUznesenieZodpovednyA3">
    <vt:lpwstr/>
  </property>
  <property fmtid="{D5CDD505-2E9C-101B-9397-08002B2CF9AE}" pid="78" name="FSC#SKEDITIONSLOVLEX@103.510:AttrStrListDocPropUznesenieTextA3">
    <vt:lpwstr/>
  </property>
  <property fmtid="{D5CDD505-2E9C-101B-9397-08002B2CF9AE}" pid="79" name="FSC#SKEDITIONSLOVLEX@103.510:AttrStrListDocPropUznesenieTerminA3">
    <vt:lpwstr/>
  </property>
  <property fmtid="{D5CDD505-2E9C-101B-9397-08002B2CF9AE}" pid="80" name="FSC#SKEDITIONSLOVLEX@103.510:AttrStrListDocPropUznesenieBODA4">
    <vt:lpwstr/>
  </property>
  <property fmtid="{D5CDD505-2E9C-101B-9397-08002B2CF9AE}" pid="81" name="FSC#SKEDITIONSLOVLEX@103.510:AttrStrListDocPropUznesenieZodpovednyA4">
    <vt:lpwstr/>
  </property>
  <property fmtid="{D5CDD505-2E9C-101B-9397-08002B2CF9AE}" pid="82" name="FSC#SKEDITIONSLOVLEX@103.510:AttrStrListDocPropUznesenieTextA4">
    <vt:lpwstr/>
  </property>
  <property fmtid="{D5CDD505-2E9C-101B-9397-08002B2CF9AE}" pid="83" name="FSC#SKEDITIONSLOVLEX@103.510:AttrStrListDocPropUznesenieTerminA4">
    <vt:lpwstr/>
  </property>
  <property fmtid="{D5CDD505-2E9C-101B-9397-08002B2CF9AE}" pid="84" name="FSC#SKEDITIONSLOVLEX@103.510:AttrStrListDocPropUznesenieCastB">
    <vt:lpwstr/>
  </property>
  <property fmtid="{D5CDD505-2E9C-101B-9397-08002B2CF9AE}" pid="85" name="FSC#SKEDITIONSLOVLEX@103.510:AttrStrListDocPropUznesenieBODB1">
    <vt:lpwstr/>
  </property>
  <property fmtid="{D5CDD505-2E9C-101B-9397-08002B2CF9AE}" pid="86" name="FSC#SKEDITIONSLOVLEX@103.510:AttrStrListDocPropUznesenieZodpovednyB1">
    <vt:lpwstr/>
  </property>
  <property fmtid="{D5CDD505-2E9C-101B-9397-08002B2CF9AE}" pid="87" name="FSC#SKEDITIONSLOVLEX@103.510:AttrStrListDocPropUznesenieTextB1">
    <vt:lpwstr/>
  </property>
  <property fmtid="{D5CDD505-2E9C-101B-9397-08002B2CF9AE}" pid="88" name="FSC#SKEDITIONSLOVLEX@103.510:AttrStrListDocPropUznesenieTerminB1">
    <vt:lpwstr/>
  </property>
  <property fmtid="{D5CDD505-2E9C-101B-9397-08002B2CF9AE}" pid="89" name="FSC#SKEDITIONSLOVLEX@103.510:AttrStrListDocPropUznesenieBODB2">
    <vt:lpwstr/>
  </property>
  <property fmtid="{D5CDD505-2E9C-101B-9397-08002B2CF9AE}" pid="90" name="FSC#SKEDITIONSLOVLEX@103.510:AttrStrListDocPropUznesenieZodpovednyB2">
    <vt:lpwstr/>
  </property>
  <property fmtid="{D5CDD505-2E9C-101B-9397-08002B2CF9AE}" pid="91" name="FSC#SKEDITIONSLOVLEX@103.510:AttrStrListDocPropUznesenieTextB2">
    <vt:lpwstr/>
  </property>
  <property fmtid="{D5CDD505-2E9C-101B-9397-08002B2CF9AE}" pid="92" name="FSC#SKEDITIONSLOVLEX@103.510:AttrStrListDocPropUznesenieTerminB2">
    <vt:lpwstr/>
  </property>
  <property fmtid="{D5CDD505-2E9C-101B-9397-08002B2CF9AE}" pid="93" name="FSC#SKEDITIONSLOVLEX@103.510:AttrStrListDocPropUznesenieBODB3">
    <vt:lpwstr/>
  </property>
  <property fmtid="{D5CDD505-2E9C-101B-9397-08002B2CF9AE}" pid="94" name="FSC#SKEDITIONSLOVLEX@103.510:AttrStrListDocPropUznesenieZodpovednyB3">
    <vt:lpwstr/>
  </property>
  <property fmtid="{D5CDD505-2E9C-101B-9397-08002B2CF9AE}" pid="95" name="FSC#SKEDITIONSLOVLEX@103.510:AttrStrListDocPropUznesenieTextB3">
    <vt:lpwstr/>
  </property>
  <property fmtid="{D5CDD505-2E9C-101B-9397-08002B2CF9AE}" pid="96" name="FSC#SKEDITIONSLOVLEX@103.510:AttrStrListDocPropUznesenieTerminB3">
    <vt:lpwstr/>
  </property>
  <property fmtid="{D5CDD505-2E9C-101B-9397-08002B2CF9AE}" pid="97" name="FSC#SKEDITIONSLOVLEX@103.510:AttrStrListDocPropUznesenieBODB4">
    <vt:lpwstr/>
  </property>
  <property fmtid="{D5CDD505-2E9C-101B-9397-08002B2CF9AE}" pid="98" name="FSC#SKEDITIONSLOVLEX@103.510:AttrStrListDocPropUznesenieZodpovednyB4">
    <vt:lpwstr/>
  </property>
  <property fmtid="{D5CDD505-2E9C-101B-9397-08002B2CF9AE}" pid="99" name="FSC#SKEDITIONSLOVLEX@103.510:AttrStrListDocPropUznesenieTextB4">
    <vt:lpwstr/>
  </property>
  <property fmtid="{D5CDD505-2E9C-101B-9397-08002B2CF9AE}" pid="100" name="FSC#SKEDITIONSLOVLEX@103.510:AttrStrListDocPropUznesenieTerminB4">
    <vt:lpwstr/>
  </property>
  <property fmtid="{D5CDD505-2E9C-101B-9397-08002B2CF9AE}" pid="101" name="FSC#SKEDITIONSLOVLEX@103.510:AttrStrListDocPropUznesenieCastC">
    <vt:lpwstr/>
  </property>
  <property fmtid="{D5CDD505-2E9C-101B-9397-08002B2CF9AE}" pid="102" name="FSC#SKEDITIONSLOVLEX@103.510:AttrStrListDocPropUznesenieBODC1">
    <vt:lpwstr/>
  </property>
  <property fmtid="{D5CDD505-2E9C-101B-9397-08002B2CF9AE}" pid="103" name="FSC#SKEDITIONSLOVLEX@103.510:AttrStrListDocPropUznesenieZodpovednyC1">
    <vt:lpwstr/>
  </property>
  <property fmtid="{D5CDD505-2E9C-101B-9397-08002B2CF9AE}" pid="104" name="FSC#SKEDITIONSLOVLEX@103.510:AttrStrListDocPropUznesenieTextC1">
    <vt:lpwstr/>
  </property>
  <property fmtid="{D5CDD505-2E9C-101B-9397-08002B2CF9AE}" pid="105" name="FSC#SKEDITIONSLOVLEX@103.510:AttrStrListDocPropUznesenieTerminC1">
    <vt:lpwstr/>
  </property>
  <property fmtid="{D5CDD505-2E9C-101B-9397-08002B2CF9AE}" pid="106" name="FSC#SKEDITIONSLOVLEX@103.510:AttrStrListDocPropUznesenieBODC2">
    <vt:lpwstr/>
  </property>
  <property fmtid="{D5CDD505-2E9C-101B-9397-08002B2CF9AE}" pid="107" name="FSC#SKEDITIONSLOVLEX@103.510:AttrStrListDocPropUznesenieZodpovednyC2">
    <vt:lpwstr/>
  </property>
  <property fmtid="{D5CDD505-2E9C-101B-9397-08002B2CF9AE}" pid="108" name="FSC#SKEDITIONSLOVLEX@103.510:AttrStrListDocPropUznesenieTextC2">
    <vt:lpwstr/>
  </property>
  <property fmtid="{D5CDD505-2E9C-101B-9397-08002B2CF9AE}" pid="109" name="FSC#SKEDITIONSLOVLEX@103.510:AttrStrListDocPropUznesenieTerminC2">
    <vt:lpwstr/>
  </property>
  <property fmtid="{D5CDD505-2E9C-101B-9397-08002B2CF9AE}" pid="110" name="FSC#SKEDITIONSLOVLEX@103.510:AttrStrListDocPropUznesenieBODC3">
    <vt:lpwstr/>
  </property>
  <property fmtid="{D5CDD505-2E9C-101B-9397-08002B2CF9AE}" pid="111" name="FSC#SKEDITIONSLOVLEX@103.510:AttrStrListDocPropUznesenieZodpovednyC3">
    <vt:lpwstr/>
  </property>
  <property fmtid="{D5CDD505-2E9C-101B-9397-08002B2CF9AE}" pid="112" name="FSC#SKEDITIONSLOVLEX@103.510:AttrStrListDocPropUznesenieTextC3">
    <vt:lpwstr/>
  </property>
  <property fmtid="{D5CDD505-2E9C-101B-9397-08002B2CF9AE}" pid="113" name="FSC#SKEDITIONSLOVLEX@103.510:AttrStrListDocPropUznesenieTerminC3">
    <vt:lpwstr/>
  </property>
  <property fmtid="{D5CDD505-2E9C-101B-9397-08002B2CF9AE}" pid="114" name="FSC#SKEDITIONSLOVLEX@103.510:AttrStrListDocPropUznesenieBODC4">
    <vt:lpwstr/>
  </property>
  <property fmtid="{D5CDD505-2E9C-101B-9397-08002B2CF9AE}" pid="115" name="FSC#SKEDITIONSLOVLEX@103.510:AttrStrListDocPropUznesenieZodpovednyC4">
    <vt:lpwstr/>
  </property>
  <property fmtid="{D5CDD505-2E9C-101B-9397-08002B2CF9AE}" pid="116" name="FSC#SKEDITIONSLOVLEX@103.510:AttrStrListDocPropUznesenieTextC4">
    <vt:lpwstr/>
  </property>
  <property fmtid="{D5CDD505-2E9C-101B-9397-08002B2CF9AE}" pid="117" name="FSC#SKEDITIONSLOVLEX@103.510:AttrStrListDocPropUznesenieTerminC4">
    <vt:lpwstr/>
  </property>
  <property fmtid="{D5CDD505-2E9C-101B-9397-08002B2CF9AE}" pid="118" name="FSC#SKEDITIONSLOVLEX@103.510:AttrStrListDocPropUznesenieCastD">
    <vt:lpwstr/>
  </property>
  <property fmtid="{D5CDD505-2E9C-101B-9397-08002B2CF9AE}" pid="119" name="FSC#SKEDITIONSLOVLEX@103.510:AttrStrListDocPropUznesenieBODD1">
    <vt:lpwstr/>
  </property>
  <property fmtid="{D5CDD505-2E9C-101B-9397-08002B2CF9AE}" pid="120" name="FSC#SKEDITIONSLOVLEX@103.510:AttrStrListDocPropUznesenieZodpovednyD1">
    <vt:lpwstr/>
  </property>
  <property fmtid="{D5CDD505-2E9C-101B-9397-08002B2CF9AE}" pid="121" name="FSC#SKEDITIONSLOVLEX@103.510:AttrStrListDocPropUznesenieTextD1">
    <vt:lpwstr/>
  </property>
  <property fmtid="{D5CDD505-2E9C-101B-9397-08002B2CF9AE}" pid="122" name="FSC#SKEDITIONSLOVLEX@103.510:AttrStrListDocPropUznesenieTerminD1">
    <vt:lpwstr/>
  </property>
  <property fmtid="{D5CDD505-2E9C-101B-9397-08002B2CF9AE}" pid="123" name="FSC#SKEDITIONSLOVLEX@103.510:AttrStrListDocPropUznesenieBODD2">
    <vt:lpwstr/>
  </property>
  <property fmtid="{D5CDD505-2E9C-101B-9397-08002B2CF9AE}" pid="124" name="FSC#SKEDITIONSLOVLEX@103.510:AttrStrListDocPropUznesenieZodpovednyD2">
    <vt:lpwstr/>
  </property>
  <property fmtid="{D5CDD505-2E9C-101B-9397-08002B2CF9AE}" pid="125" name="FSC#SKEDITIONSLOVLEX@103.510:AttrStrListDocPropUznesenieTextD2">
    <vt:lpwstr/>
  </property>
  <property fmtid="{D5CDD505-2E9C-101B-9397-08002B2CF9AE}" pid="126" name="FSC#SKEDITIONSLOVLEX@103.510:AttrStrListDocPropUznesenieTerminD2">
    <vt:lpwstr/>
  </property>
  <property fmtid="{D5CDD505-2E9C-101B-9397-08002B2CF9AE}" pid="127" name="FSC#SKEDITIONSLOVLEX@103.510:AttrStrListDocPropUznesenieBODD3">
    <vt:lpwstr/>
  </property>
  <property fmtid="{D5CDD505-2E9C-101B-9397-08002B2CF9AE}" pid="128" name="FSC#SKEDITIONSLOVLEX@103.510:AttrStrListDocPropUznesenieZodpovednyD3">
    <vt:lpwstr/>
  </property>
  <property fmtid="{D5CDD505-2E9C-101B-9397-08002B2CF9AE}" pid="129" name="FSC#SKEDITIONSLOVLEX@103.510:AttrStrListDocPropUznesenieTextD3">
    <vt:lpwstr/>
  </property>
  <property fmtid="{D5CDD505-2E9C-101B-9397-08002B2CF9AE}" pid="130" name="FSC#SKEDITIONSLOVLEX@103.510:AttrStrListDocPropUznesenieTerminD3">
    <vt:lpwstr/>
  </property>
  <property fmtid="{D5CDD505-2E9C-101B-9397-08002B2CF9AE}" pid="131" name="FSC#SKEDITIONSLOVLEX@103.510:AttrStrListDocPropUznesenieBODD4">
    <vt:lpwstr/>
  </property>
  <property fmtid="{D5CDD505-2E9C-101B-9397-08002B2CF9AE}" pid="132" name="FSC#SKEDITIONSLOVLEX@103.510:AttrStrListDocPropUznesenieZodpovednyD4">
    <vt:lpwstr/>
  </property>
  <property fmtid="{D5CDD505-2E9C-101B-9397-08002B2CF9AE}" pid="133" name="FSC#SKEDITIONSLOVLEX@103.510:AttrStrListDocPropUznesenieTextD4">
    <vt:lpwstr/>
  </property>
  <property fmtid="{D5CDD505-2E9C-101B-9397-08002B2CF9AE}" pid="134" name="FSC#SKEDITIONSLOVLEX@103.510:AttrStrListDocPropUznesenieTerminD4">
    <vt:lpwstr/>
  </property>
  <property fmtid="{D5CDD505-2E9C-101B-9397-08002B2CF9AE}" pid="135" name="FSC#SKEDITIONSLOVLEX@103.510:AttrStrListDocPropUznesenieVykonaju">
    <vt:lpwstr>podpredseda vlády a minister vnútra_x000d_
podpredsedníčka vlády a ministerka spravodlivosti_x000d_
minister dopravy a výstavby_x000d_
minister životného prostredia_x000d_
minister zdravotníctva</vt:lpwstr>
  </property>
  <property fmtid="{D5CDD505-2E9C-101B-9397-08002B2CF9AE}" pid="136" name="FSC#SKEDITIONSLOVLEX@103.510:AttrStrListDocPropUznesenieNaVedomie">
    <vt:lpwstr>predseda Výboru Národnej rady SR pre európske záležitosti_x000d_
predseda Ústavnoprávneho výboru Národnej rady SR</vt:lpwstr>
  </property>
  <property fmtid="{D5CDD505-2E9C-101B-9397-08002B2CF9AE}" pid="137" name="FSC#SKEDITIONSLOVLEX@103.510:funkciaPred">
    <vt:lpwstr/>
  </property>
  <property fmtid="{D5CDD505-2E9C-101B-9397-08002B2CF9AE}" pid="138" name="FSC#SKEDITIONSLOVLEX@103.510:funkciaPredAkuzativ">
    <vt:lpwstr/>
  </property>
  <property fmtid="{D5CDD505-2E9C-101B-9397-08002B2CF9AE}" pid="139" name="FSC#SKEDITIONSLOVLEX@103.510:funkciaPredDativ">
    <vt:lpwstr/>
  </property>
  <property fmtid="{D5CDD505-2E9C-101B-9397-08002B2CF9AE}" pid="140" name="FSC#SKEDITIONSLOVLEX@103.510:funkciaZodpPred">
    <vt:lpwstr>vedúci Úradu vlády Slovenskej republiky</vt:lpwstr>
  </property>
  <property fmtid="{D5CDD505-2E9C-101B-9397-08002B2CF9AE}" pid="141" name="FSC#SKEDITIONSLOVLEX@103.510:funkciaZodpPredAkuzativ">
    <vt:lpwstr>vedúcemu Úradu vlády Slovenskej republiky</vt:lpwstr>
  </property>
  <property fmtid="{D5CDD505-2E9C-101B-9397-08002B2CF9AE}" pid="142" name="FSC#SKEDITIONSLOVLEX@103.510:funkciaZodpPredDativ">
    <vt:lpwstr>vedúceho Úradu vlády Slovenskej republiky</vt:lpwstr>
  </property>
  <property fmtid="{D5CDD505-2E9C-101B-9397-08002B2CF9AE}" pid="143" name="FSC#SKEDITIONSLOVLEX@103.510:funkciaDalsiPred">
    <vt:lpwstr/>
  </property>
  <property fmtid="{D5CDD505-2E9C-101B-9397-08002B2CF9AE}" pid="144" name="FSC#SKEDITIONSLOVLEX@103.510:funkciaDalsiPredAkuzativ">
    <vt:lpwstr/>
  </property>
  <property fmtid="{D5CDD505-2E9C-101B-9397-08002B2CF9AE}" pid="145" name="FSC#SKEDITIONSLOVLEX@103.510:funkciaDalsiPredDativ">
    <vt:lpwstr/>
  </property>
  <property fmtid="{D5CDD505-2E9C-101B-9397-08002B2CF9AE}" pid="146" name="FSC#SKEDITIONSLOVLEX@103.510:predkladateliaObalSD">
    <vt:lpwstr>Ing. Igor Federič_x000d_
vedúci Úradu vlády Slovenskej republiky</vt:lpwstr>
  </property>
  <property fmtid="{D5CDD505-2E9C-101B-9397-08002B2CF9AE}" pid="147" name="FSC#SKEDITIONSLOVLEX@103.510:AttrStrListDocPropTextVseobPrilohy">
    <vt:lpwstr/>
  </property>
  <property fmtid="{D5CDD505-2E9C-101B-9397-08002B2CF9AE}" pid="148" name="FSC#SKEDITIONSLOVLEX@103.510:AttrStrListDocPropTextPredklSpravy">
    <vt:lpwstr>&lt;p style="text-align: justify;"&gt;Informácia o&amp;nbsp;transpozičnom deficite a&amp;nbsp;harmonograme jeho odstránenia sa predkladá na základe bodu B.2. uznesenia vlády SR č. 225 z&amp;nbsp;30. marca 2011 v&amp;nbsp;znení bodu C.1. uznesenia vlády SR č. 73 z&amp;nbsp; 24. februára 2016 a v&amp;nbsp;súlade s odporúčaním Komisie 2005/309/ES k&amp;nbsp;transpozícii smerníc vnútorného trhu do vnútroštátneho práva, podľa ktorého majú byť vlády a parlamenty členských štátov informované o&amp;nbsp;transpozičnom deficite a&amp;nbsp;majú vykonávať opatrenia na jeho odstránenie. V&amp;nbsp;záujme zabezpečenia priebežnej informovanosti vlády SR a&amp;nbsp;Národnej rady SR, bola uložená úloha vedúcemu Úradu vlády SR, aby pravidelne v&amp;nbsp;polročných intervaloch predkladal takéto informácie vláde SR. Po schválení budú informácie zasielané na vedomie aj Výboru Národnej rady SR pre európske záležitosti a&amp;nbsp;Ústavnoprávnemu výboru Národnej rady SR.&amp;nbsp;&lt;/p&gt;&lt;p style="text-align: justify;"&gt;&amp;nbsp;&lt;/p&gt;&lt;p style="text-align: justify;"&gt;Materiál okrem výpočtu smerníc, ktoré predstavujú aktuálny stav transpozičného deficitu, obsahuje informáciu o&amp;nbsp;opatreniach potrebných na odstraňovanie transpozičného deficitu a&amp;nbsp;návrh úloh adresovaných ministrom a&amp;nbsp;predsedom ostatných ústredných orgánov štátnej správy, prípadne orgánov štátnej správy sui generis, ktoré sú zamerané na odstránenie porušenia zmluvných povinností Slovenskej republiky voči Európskej únii v&amp;nbsp;oblasti aproximácie práva, súvisiacich predovšetkým s&amp;nbsp;oneskoreným a&amp;nbsp;nenáležitým preberaním smerníc do slovenského právneho poriadku, prípadne s ich notifikáciou.&amp;nbsp;&lt;/p&gt;&lt;p style="text-align: justify;"&gt;&amp;nbsp;&lt;/p&gt;&lt;p style="text-align: justify;"&gt;Predmetom materiálu je poskytnúť prehľad o všetkých smerniciach, ktorým uplynula, resp. uplynie lehota pre transpozíciu v&amp;nbsp;období do 30. novembra 2017, v&amp;nbsp;prípade ktorých stále nedošlo k&amp;nbsp;prebratiu, došlo len k čiastočnému prebratiu, prípadne nedošlo k&amp;nbsp;notifikácii príslušných vnútroštátnych transpozičných opatrení. Informácia je rozšírená o&amp;nbsp;III. časť, v&amp;nbsp;ktorej sú uvedené ďalšie legislatívne úlohy a opatrenia, vyplývajúce z&amp;nbsp;gestorstva príslušných smerníc, ktorým uplynie lehota pre transpozíciu resp. notifikáciu v&amp;nbsp;období od 1. decembra 2017 do 31. januára 2018.&lt;/p&gt;&lt;p style="text-align: justify;"&gt;&amp;nbsp;&lt;/p&gt;&lt;p style="text-align: justify;"&gt;Materiál nebude mať vplyv na rozpočet verejnej správy, na podnikateľské prostredie, sociálne vplyvy, vplyv na životné prostredie, na informatizáciu spoločnosti ani vplyv na služby verejnej správy pre občana.&amp;nbsp;&lt;/p&gt;&lt;p style="text-align: justify;"&gt;&amp;nbsp;&lt;/p&gt;&lt;p style="text-align: justify;"&gt;Materiál bol predmetom medzirezortného pripomienkového konania od 26. októbra 2017 do 09. novembra 2017 a&amp;nbsp;na rokovanie vlády Slovenskej republiky sa predkladá bez rozporov.&lt;/p&gt;</vt:lpwstr>
  </property>
  <property fmtid="{D5CDD505-2E9C-101B-9397-08002B2CF9AE}" pid="149" name="FSC#COOSYSTEM@1.1:Container">
    <vt:lpwstr>COO.2145.1000.3.2251473</vt:lpwstr>
  </property>
  <property fmtid="{D5CDD505-2E9C-101B-9397-08002B2CF9AE}" pid="150" name="FSC#FSCFOLIO@1.1001:docpropproject">
    <vt:lpwstr/>
  </property>
  <property fmtid="{D5CDD505-2E9C-101B-9397-08002B2CF9AE}" pid="151" name="FSC#SKEDITIONSLOVLEX@103.510:aktualnyrok">
    <vt:lpwstr>2017</vt:lpwstr>
  </property>
  <property fmtid="{D5CDD505-2E9C-101B-9397-08002B2CF9AE}" pid="152" name="FSC#SKEDITIONSLOVLEX@103.510:vytvorenedna">
    <vt:lpwstr>10. 11. 2017</vt:lpwstr>
  </property>
  <property fmtid="{D5CDD505-2E9C-101B-9397-08002B2CF9AE}" pid="153" name="ContentTypeId">
    <vt:lpwstr>0x0101006C0C8C3C1E3DCC44BECE3792677AD011</vt:lpwstr>
  </property>
  <property fmtid="{D5CDD505-2E9C-101B-9397-08002B2CF9AE}" pid="154" name="_dlc_DocIdItemGuid">
    <vt:lpwstr>37bfafa8-98e5-45a1-8939-d250c54f4dd1</vt:lpwstr>
  </property>
</Properties>
</file>